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A6" w:rsidRDefault="000A1210" w:rsidP="00756CA6">
      <w:pPr>
        <w:tabs>
          <w:tab w:val="left" w:pos="0"/>
        </w:tabs>
        <w:ind w:left="432" w:hanging="432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A1674">
        <w:rPr>
          <w:rFonts w:ascii="Times New Roman" w:hAnsi="Times New Roman" w:cs="Times New Roman"/>
          <w:sz w:val="28"/>
          <w:szCs w:val="28"/>
        </w:rPr>
        <w:t xml:space="preserve">    </w:t>
      </w:r>
      <w:r w:rsidR="00756CA6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Новгородская область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АДМИНИСТРАЦИЯ СТАРОРУССКОГО 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МУНИЦИПАЛЬНОГО РАЙОНА</w:t>
      </w:r>
    </w:p>
    <w:p w:rsidR="00756CA6" w:rsidRDefault="00756CA6" w:rsidP="00756CA6">
      <w:pPr>
        <w:spacing w:before="240" w:after="60" w:line="240" w:lineRule="atLeast"/>
        <w:jc w:val="center"/>
        <w:outlineLvl w:val="4"/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</w:pPr>
      <w:r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  <w:t>ПОСТАНОВЛЕНИЕ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г.  Старая Русса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bookmarkStart w:id="1" w:name="_Hlk85465976"/>
      <w:r>
        <w:rPr>
          <w:b/>
          <w:sz w:val="28"/>
          <w:szCs w:val="28"/>
          <w:lang w:val="ru-RU" w:eastAsia="ru-RU"/>
        </w:rPr>
        <w:t xml:space="preserve">Об утверждении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территории муниципального образования </w:t>
      </w:r>
      <w:r w:rsidR="0076407F">
        <w:rPr>
          <w:rFonts w:ascii="Times New Roman" w:hAnsi="Times New Roman" w:cs="Times New Roman"/>
          <w:b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2022 год</w:t>
      </w:r>
    </w:p>
    <w:p w:rsidR="00756CA6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</w:p>
    <w:p w:rsidR="00756CA6" w:rsidRDefault="00756CA6" w:rsidP="00756CA6">
      <w:pPr>
        <w:pStyle w:val="ConsPlusNormal"/>
        <w:widowControl w:val="0"/>
        <w:spacing w:line="276" w:lineRule="auto"/>
        <w:ind w:firstLine="709"/>
        <w:jc w:val="both"/>
        <w:outlineLvl w:val="1"/>
      </w:pPr>
      <w:r>
        <w:rPr>
          <w:bCs/>
        </w:rPr>
        <w:t>В соответствии</w:t>
      </w:r>
      <w:r>
        <w:t xml:space="preserve"> </w:t>
      </w:r>
      <w:r>
        <w:rPr>
          <w:rFonts w:eastAsia="Calibri"/>
          <w:lang w:eastAsia="en-US"/>
        </w:rPr>
        <w:t>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color w:val="000000"/>
        </w:rPr>
        <w:t xml:space="preserve">Администрация Старорусского муниципального района </w:t>
      </w:r>
      <w:r>
        <w:rPr>
          <w:b/>
        </w:rPr>
        <w:t>ПОСТАНОВЛЯЕТ:</w:t>
      </w:r>
    </w:p>
    <w:p w:rsidR="00756CA6" w:rsidRPr="00756CA6" w:rsidRDefault="00756CA6" w:rsidP="00756CA6">
      <w:pPr>
        <w:pStyle w:val="Standard"/>
        <w:spacing w:line="276" w:lineRule="auto"/>
        <w:ind w:firstLine="709"/>
        <w:jc w:val="both"/>
        <w:outlineLvl w:val="1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 xml:space="preserve">1. Утвердить прилагаемую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76407F">
        <w:rPr>
          <w:rFonts w:ascii="Times New Roman" w:hAnsi="Times New Roman" w:cs="Times New Roman"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2022 год.</w:t>
      </w:r>
    </w:p>
    <w:p w:rsidR="00756CA6" w:rsidRPr="00756CA6" w:rsidRDefault="00756CA6" w:rsidP="00756C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A6">
        <w:rPr>
          <w:rFonts w:ascii="Times New Roman" w:hAnsi="Times New Roman" w:cs="Times New Roman"/>
          <w:sz w:val="28"/>
          <w:szCs w:val="28"/>
        </w:rPr>
        <w:t>3.Опубликовать постановление в периодическом печатном издании -   муниципальной газете «Русса-</w:t>
      </w:r>
      <w:proofErr w:type="spellStart"/>
      <w:r w:rsidRPr="00756CA6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756CA6">
        <w:rPr>
          <w:rFonts w:ascii="Times New Roman" w:hAnsi="Times New Roman" w:cs="Times New Roman"/>
          <w:sz w:val="28"/>
          <w:szCs w:val="28"/>
        </w:rPr>
        <w:t>» Старорусского муниципального района и на официальном сайте Администрации муниципального района в информационно-телекоммуникационной сети «Инте</w:t>
      </w:r>
      <w:r w:rsidR="00D07819">
        <w:rPr>
          <w:rFonts w:ascii="Times New Roman" w:hAnsi="Times New Roman" w:cs="Times New Roman"/>
          <w:sz w:val="28"/>
          <w:szCs w:val="28"/>
        </w:rPr>
        <w:t>р</w:t>
      </w:r>
      <w:r w:rsidRPr="00756CA6">
        <w:rPr>
          <w:rFonts w:ascii="Times New Roman" w:hAnsi="Times New Roman" w:cs="Times New Roman"/>
          <w:sz w:val="28"/>
          <w:szCs w:val="28"/>
        </w:rPr>
        <w:t>нет» (</w:t>
      </w:r>
      <w:hyperlink r:id="rId6" w:history="1">
        <w:r w:rsidRPr="00756CA6">
          <w:rPr>
            <w:rStyle w:val="a9"/>
            <w:rFonts w:ascii="Times New Roman" w:hAnsi="Times New Roman" w:cs="Times New Roman"/>
            <w:sz w:val="28"/>
            <w:szCs w:val="28"/>
          </w:rPr>
          <w:t>www.admrussa.ru</w:t>
        </w:r>
      </w:hyperlink>
      <w:r w:rsidRPr="00756CA6">
        <w:rPr>
          <w:rFonts w:ascii="Times New Roman" w:hAnsi="Times New Roman" w:cs="Times New Roman"/>
          <w:sz w:val="28"/>
          <w:szCs w:val="28"/>
        </w:rPr>
        <w:t>).</w:t>
      </w:r>
    </w:p>
    <w:p w:rsidR="00756CA6" w:rsidRDefault="00756CA6" w:rsidP="00756CA6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b/>
          <w:sz w:val="28"/>
          <w:szCs w:val="28"/>
        </w:rPr>
      </w:pPr>
    </w:p>
    <w:p w:rsidR="00756CA6" w:rsidRPr="00D07819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1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                                           А.Р. </w:t>
      </w:r>
      <w:proofErr w:type="spellStart"/>
      <w:r w:rsidRPr="00D07819">
        <w:rPr>
          <w:rFonts w:ascii="Times New Roman" w:hAnsi="Times New Roman" w:cs="Times New Roman"/>
          <w:b/>
          <w:sz w:val="28"/>
          <w:szCs w:val="28"/>
        </w:rPr>
        <w:t>Розбаум</w:t>
      </w:r>
      <w:proofErr w:type="spellEnd"/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контроля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Е.В. Михайлова</w:t>
      </w:r>
    </w:p>
    <w:p w:rsidR="00756CA6" w:rsidRDefault="00756CA6" w:rsidP="00756CA6">
      <w:pPr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00FFFF"/>
          <w:lang w:eastAsia="ar-SA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 прилагается.</w:t>
      </w:r>
    </w:p>
    <w:p w:rsidR="00756CA6" w:rsidRDefault="00756CA6" w:rsidP="00756CA6">
      <w:pPr>
        <w:tabs>
          <w:tab w:val="left" w:pos="6900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Проекта Постановления Администрации муниципального района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76407F">
        <w:rPr>
          <w:rFonts w:ascii="Times New Roman" w:hAnsi="Times New Roman" w:cs="Times New Roman"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2022 год»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</w:p>
    <w:tbl>
      <w:tblPr>
        <w:tblW w:w="94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4721"/>
        <w:gridCol w:w="2800"/>
      </w:tblGrid>
      <w:tr w:rsidR="00756CA6" w:rsidRPr="00C11692" w:rsidTr="005C0D6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756CA6" w:rsidRDefault="00756CA6" w:rsidP="005C0D68">
            <w:pPr>
              <w:tabs>
                <w:tab w:val="left" w:pos="6800"/>
              </w:tabs>
              <w:autoSpaceDE w:val="0"/>
              <w:spacing w:before="120" w:line="240" w:lineRule="exact"/>
              <w:ind w:left="43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В.Н. Ульянов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отделом правового обеспечения Администрации муниципального района</w:t>
            </w:r>
          </w:p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Е.Г. Котов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756CA6" w:rsidP="00756CA6">
      <w:pPr>
        <w:numPr>
          <w:ilvl w:val="0"/>
          <w:numId w:val="6"/>
        </w:numPr>
        <w:pBdr>
          <w:bottom w:val="single" w:sz="12" w:space="1" w:color="000000"/>
        </w:pBd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УКАЗАТЕЛЬ РАССЫЛКИ</w:t>
      </w: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93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"/>
        <w:gridCol w:w="1026"/>
        <w:gridCol w:w="2379"/>
        <w:gridCol w:w="697"/>
        <w:gridCol w:w="236"/>
        <w:gridCol w:w="259"/>
        <w:gridCol w:w="825"/>
        <w:gridCol w:w="376"/>
        <w:gridCol w:w="512"/>
        <w:gridCol w:w="453"/>
        <w:gridCol w:w="331"/>
        <w:gridCol w:w="1225"/>
        <w:gridCol w:w="59"/>
        <w:gridCol w:w="863"/>
      </w:tblGrid>
      <w:tr w:rsidR="00756CA6" w:rsidRPr="00C11692" w:rsidTr="005C0D68">
        <w:trPr>
          <w:jc w:val="center"/>
        </w:trPr>
        <w:tc>
          <w:tcPr>
            <w:tcW w:w="445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Pr="0076407F" w:rsidRDefault="00756CA6" w:rsidP="00D07819">
            <w:pPr>
              <w:pStyle w:val="Standard"/>
              <w:ind w:firstLine="709"/>
              <w:jc w:val="center"/>
              <w:outlineLvl w:val="1"/>
              <w:rPr>
                <w:rFonts w:hint="eastAsia"/>
                <w:lang w:val="ru-RU"/>
              </w:rPr>
            </w:pPr>
            <w:r w:rsidRPr="0076407F">
              <w:rPr>
                <w:rFonts w:ascii="Times New Roman" w:eastAsia="Times New Roman" w:hAnsi="Times New Roman" w:cs="Times New Roman"/>
                <w:color w:val="000000"/>
                <w:kern w:val="0"/>
                <w:lang w:val="ru-RU" w:bidi="ar-SA"/>
              </w:rPr>
              <w:t xml:space="preserve">К проекту Постановления Администрации муниципального района «Об утверждении </w:t>
            </w:r>
            <w:r w:rsidRPr="0076407F">
              <w:rPr>
                <w:rFonts w:ascii="Times New Roman" w:hAnsi="Times New Roman" w:cs="Times New Roman"/>
                <w:lang w:val="ru-RU"/>
              </w:rPr>
              <w:t>Программы профилактики рисков причинения вреда (ущерба) охраняемым законом ценностям п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ри осуществлении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муниципально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го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 земельно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го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контрол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я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на территории муниципального образования </w:t>
            </w:r>
            <w:r w:rsidR="0076407F" w:rsidRPr="0076407F">
              <w:rPr>
                <w:rFonts w:ascii="Times New Roman" w:hAnsi="Times New Roman" w:cs="Times New Roman"/>
                <w:lang w:val="ru-RU"/>
              </w:rPr>
              <w:t>Старорусский муниципальный район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на 2022 год»</w:t>
            </w:r>
            <w:r w:rsidRPr="0076407F">
              <w:rPr>
                <w:rFonts w:ascii="Times New Roman" w:eastAsia="Times New Roman" w:hAnsi="Times New Roman" w:cs="Times New Roman"/>
                <w:color w:val="000000"/>
                <w:kern w:val="0"/>
                <w:lang w:val="ru-RU" w:bidi="ar-SA"/>
              </w:rPr>
              <w:t xml:space="preserve"> </w:t>
            </w:r>
          </w:p>
        </w:tc>
        <w:tc>
          <w:tcPr>
            <w:tcW w:w="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56CA6" w:rsidTr="005C0D68">
        <w:trPr>
          <w:jc w:val="center"/>
        </w:trPr>
        <w:tc>
          <w:tcPr>
            <w:tcW w:w="445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(вид документа)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8598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Pr="00C11692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структурное подразделение.)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 муниципального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Отдел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сайт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отделом контроля</w:t>
            </w:r>
          </w:p>
        </w:tc>
        <w:tc>
          <w:tcPr>
            <w:tcW w:w="213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CA6" w:rsidRDefault="00756CA6" w:rsidP="005C0D68">
            <w:pPr>
              <w:spacing w:before="120" w:after="120" w:line="240" w:lineRule="exact"/>
              <w:ind w:right="36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Е.В. Михайлова 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</w:pP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(подпись)</w:t>
            </w:r>
          </w:p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0A1210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 w:rsidRPr="007A16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61434" w:rsidRPr="007A1674" w:rsidRDefault="00D07819" w:rsidP="00D07819">
      <w:pPr>
        <w:autoSpaceDE w:val="0"/>
        <w:autoSpaceDN w:val="0"/>
        <w:adjustRightInd w:val="0"/>
        <w:spacing w:after="0" w:line="240" w:lineRule="auto"/>
        <w:ind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5771B" w:rsidRPr="007A1674">
        <w:rPr>
          <w:rFonts w:ascii="Times New Roman" w:hAnsi="Times New Roman" w:cs="Times New Roman"/>
          <w:sz w:val="28"/>
          <w:szCs w:val="28"/>
        </w:rPr>
        <w:t>У</w:t>
      </w:r>
      <w:r w:rsidR="000A1210" w:rsidRPr="007A1674">
        <w:rPr>
          <w:rFonts w:ascii="Times New Roman" w:hAnsi="Times New Roman" w:cs="Times New Roman"/>
          <w:sz w:val="28"/>
          <w:szCs w:val="28"/>
        </w:rPr>
        <w:t>ТВЕРЖДЕНА</w:t>
      </w:r>
    </w:p>
    <w:p w:rsidR="007B644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/>
          <w:sz w:val="28"/>
          <w:szCs w:val="28"/>
        </w:rPr>
      </w:pPr>
      <w:r w:rsidRPr="007A167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A167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D43C8">
        <w:rPr>
          <w:rFonts w:ascii="Times New Roman" w:hAnsi="Times New Roman"/>
          <w:sz w:val="28"/>
          <w:szCs w:val="28"/>
        </w:rPr>
        <w:t>муниципального района</w:t>
      </w:r>
      <w:r w:rsidRPr="007A1674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1674">
        <w:rPr>
          <w:rFonts w:ascii="Times New Roman" w:hAnsi="Times New Roman"/>
          <w:sz w:val="28"/>
          <w:szCs w:val="28"/>
        </w:rPr>
        <w:t xml:space="preserve"> №</w:t>
      </w:r>
    </w:p>
    <w:p w:rsidR="00561434" w:rsidRPr="00802A67" w:rsidRDefault="00561434" w:rsidP="007A1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54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ым законом ценностям </w:t>
      </w:r>
      <w:r w:rsidR="007A1674">
        <w:rPr>
          <w:rFonts w:ascii="Times New Roman" w:hAnsi="Times New Roman" w:cs="Times New Roman"/>
          <w:b/>
          <w:sz w:val="28"/>
          <w:szCs w:val="28"/>
        </w:rPr>
        <w:t>п</w:t>
      </w:r>
      <w:r w:rsidR="001B500E">
        <w:rPr>
          <w:rFonts w:ascii="Times New Roman" w:hAnsi="Times New Roman" w:cs="Times New Roman"/>
          <w:b/>
          <w:sz w:val="28"/>
          <w:szCs w:val="28"/>
        </w:rPr>
        <w:t>ри осуществлении</w:t>
      </w:r>
      <w:r w:rsidR="007A1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1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</w:rPr>
        <w:t>я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="000E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6A">
        <w:rPr>
          <w:rFonts w:ascii="Times New Roman" w:hAnsi="Times New Roman" w:cs="Times New Roman"/>
          <w:b/>
          <w:sz w:val="28"/>
          <w:szCs w:val="28"/>
        </w:rPr>
        <w:t>Старорусский муниципальный район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F4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F111F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0E47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47F4" w:rsidRPr="000E47F4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муниципального образования </w:t>
      </w:r>
      <w:r w:rsidR="00F4676A">
        <w:rPr>
          <w:rFonts w:ascii="Times New Roman" w:hAnsi="Times New Roman" w:cs="Times New Roman"/>
          <w:sz w:val="28"/>
          <w:szCs w:val="28"/>
        </w:rPr>
        <w:t>Старорусский муниципальный район</w:t>
      </w:r>
      <w:r w:rsidR="00A953EF">
        <w:rPr>
          <w:rFonts w:ascii="Times New Roman" w:hAnsi="Times New Roman" w:cs="Times New Roman"/>
          <w:sz w:val="28"/>
          <w:szCs w:val="28"/>
        </w:rPr>
        <w:t>.</w:t>
      </w:r>
    </w:p>
    <w:p w:rsidR="00AE6C5E" w:rsidRDefault="00AE6C5E" w:rsidP="00AE6C5E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373F44" w:rsidRPr="006A1729" w:rsidTr="0003257B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Программа профилактики рисков причинения вреда (ущерба) охраняемым законом ценностям при осуществлении муниципального</w:t>
            </w:r>
            <w:r>
              <w:rPr>
                <w:sz w:val="24"/>
                <w:szCs w:val="24"/>
                <w:lang w:eastAsia="en-US" w:bidi="hi-IN"/>
              </w:rPr>
              <w:t xml:space="preserve"> земельного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контроля на территории муниципального образования </w:t>
            </w:r>
            <w:r>
              <w:rPr>
                <w:sz w:val="24"/>
                <w:szCs w:val="24"/>
                <w:lang w:eastAsia="en-US" w:bidi="hi-IN"/>
              </w:rPr>
              <w:t>Старорусский муниципальный район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на 2022 год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Федеральный закон от 31.07.2020 №</w:t>
            </w:r>
            <w:r>
              <w:rPr>
                <w:sz w:val="24"/>
                <w:szCs w:val="24"/>
                <w:lang w:val="en-US" w:eastAsia="ar-SA" w:bidi="hi-IN"/>
              </w:rPr>
              <w:t> </w:t>
            </w:r>
            <w:r w:rsidRPr="006A1729">
              <w:rPr>
                <w:sz w:val="24"/>
                <w:szCs w:val="24"/>
                <w:lang w:eastAsia="ar-SA" w:bidi="hi-IN"/>
              </w:rPr>
              <w:t xml:space="preserve">248-ФЗ                            </w:t>
            </w:r>
            <w:proofErr w:type="gramStart"/>
            <w:r w:rsidRPr="006A1729">
              <w:rPr>
                <w:sz w:val="24"/>
                <w:szCs w:val="24"/>
                <w:lang w:eastAsia="ar-SA" w:bidi="hi-IN"/>
              </w:rPr>
              <w:t xml:space="preserve">   «</w:t>
            </w:r>
            <w:proofErr w:type="gramEnd"/>
            <w:r w:rsidRPr="006A1729">
              <w:rPr>
                <w:sz w:val="24"/>
                <w:szCs w:val="24"/>
                <w:lang w:eastAsia="ar-SA" w:bidi="hi-IN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Решение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Думы Старорусского муниципального района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от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01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.2021 №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75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«Об утверждении Положения о муниципальном </w:t>
            </w:r>
            <w:r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контроле на территории муниципального образования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Старорусский муниципальный район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»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Разработчик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rPr>
                <w:iCs/>
                <w:sz w:val="24"/>
                <w:szCs w:val="24"/>
                <w:lang w:eastAsia="en-US" w:bidi="hi-IN"/>
              </w:rPr>
            </w:pPr>
            <w:r w:rsidRPr="006A1729">
              <w:rPr>
                <w:iCs/>
                <w:sz w:val="24"/>
                <w:szCs w:val="24"/>
                <w:lang w:eastAsia="en-US" w:bidi="hi-IN"/>
              </w:rPr>
              <w:t>Администрация муниципального района в лице отдела контроля Администрации муниципального района</w:t>
            </w:r>
          </w:p>
        </w:tc>
      </w:tr>
      <w:tr w:rsidR="00373F44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t>Цели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предотвращение рисков причинения вреда охраняемым законом ценностям;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стимулирование добросовестного соблюдения обязательных требований всеми контролируемыми лицами;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lang w:val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lastRenderedPageBreak/>
              <w:t>Задачи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формирование одинакового понимания обязательных требований у всех участников в сфере </w:t>
            </w:r>
            <w:r>
              <w:rPr>
                <w:color w:val="auto"/>
                <w:kern w:val="3"/>
                <w:sz w:val="22"/>
                <w:szCs w:val="22"/>
                <w:lang w:eastAsia="ru-RU" w:bidi="hi-IN"/>
              </w:rPr>
              <w:t>земельного законодательства</w:t>
            </w: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 при осуществлении 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>муниципального</w:t>
            </w:r>
            <w:r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земельного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контроля на территории муниципального образования </w:t>
            </w:r>
            <w:r w:rsidR="002D2395">
              <w:rPr>
                <w:iCs/>
                <w:kern w:val="3"/>
                <w:sz w:val="22"/>
                <w:szCs w:val="22"/>
                <w:lang w:eastAsia="ar-SA" w:bidi="hi-IN"/>
              </w:rPr>
              <w:t>Старорусский муниципальный район</w:t>
            </w:r>
            <w:r w:rsidRPr="006A1729">
              <w:rPr>
                <w:i/>
                <w:color w:val="auto"/>
                <w:kern w:val="3"/>
                <w:sz w:val="22"/>
                <w:szCs w:val="22"/>
                <w:lang w:eastAsia="ru-RU" w:bidi="hi-IN"/>
              </w:rPr>
              <w:t>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и внедрение мер системы позитивной профилактики;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73F44" w:rsidRPr="002D2395" w:rsidRDefault="00373F44" w:rsidP="0003257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spacing w:line="276" w:lineRule="auto"/>
              <w:ind w:left="-137" w:firstLine="313"/>
              <w:rPr>
                <w:kern w:val="3"/>
                <w:sz w:val="22"/>
                <w:szCs w:val="22"/>
                <w:lang w:eastAsia="zh-CN" w:bidi="hi-IN"/>
              </w:rPr>
            </w:pPr>
            <w:r w:rsidRPr="002D2395">
              <w:rPr>
                <w:sz w:val="22"/>
                <w:szCs w:val="22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6A1729">
              <w:rPr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Положением о муниципальном </w:t>
            </w:r>
            <w:r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proofErr w:type="gramStart"/>
            <w:r w:rsidRPr="006A1729">
              <w:rPr>
                <w:iCs/>
                <w:sz w:val="24"/>
                <w:szCs w:val="24"/>
                <w:lang w:eastAsia="ar-SA" w:bidi="hi-IN"/>
              </w:rPr>
              <w:t>контроле  на</w:t>
            </w:r>
            <w:proofErr w:type="gramEnd"/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территории муниципального образования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Старорусский муниципальный район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 xml:space="preserve">, утвержденным 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>Решение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м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 xml:space="preserve"> 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Думы Старорусского муниципального района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 xml:space="preserve"> от 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01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10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>.2021 №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75</w:t>
            </w:r>
            <w:r w:rsidRPr="006A1729">
              <w:rPr>
                <w:sz w:val="24"/>
                <w:szCs w:val="24"/>
                <w:lang w:eastAsia="ar-SA" w:bidi="hi-IN"/>
              </w:rPr>
              <w:t>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0" w:firstLine="176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lastRenderedPageBreak/>
              <w:t>Мотивация контролируемых лиц к добросовестному поведению</w:t>
            </w:r>
          </w:p>
        </w:tc>
      </w:tr>
      <w:tr w:rsidR="00373F44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proofErr w:type="spellStart"/>
            <w:r>
              <w:rPr>
                <w:sz w:val="24"/>
                <w:szCs w:val="24"/>
                <w:lang w:val="en-US" w:eastAsia="en-US" w:bidi="hi-IN"/>
              </w:rPr>
              <w:lastRenderedPageBreak/>
              <w:t>Сроки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реализации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>
              <w:rPr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 xml:space="preserve">2022 </w:t>
            </w:r>
            <w:proofErr w:type="spellStart"/>
            <w:r>
              <w:rPr>
                <w:sz w:val="24"/>
                <w:szCs w:val="24"/>
                <w:lang w:val="en-US" w:eastAsia="en-US" w:bidi="hi-IN"/>
              </w:rPr>
              <w:t>год</w:t>
            </w:r>
            <w:proofErr w:type="spellEnd"/>
          </w:p>
        </w:tc>
      </w:tr>
    </w:tbl>
    <w:p w:rsidR="001F111F" w:rsidRDefault="001F111F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111F" w:rsidRPr="00802A67" w:rsidRDefault="001F111F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D5B61" w:rsidRDefault="009D5B61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B61" w:rsidRDefault="00A953EF" w:rsidP="002344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отделом контроля Администрации муниципального района в рамках м</w:t>
      </w:r>
      <w:r w:rsidR="009D5B6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D5B61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D5B6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D5B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B61">
        <w:rPr>
          <w:rFonts w:ascii="Times New Roman" w:hAnsi="Times New Roman" w:cs="Times New Roman"/>
          <w:sz w:val="28"/>
          <w:szCs w:val="28"/>
        </w:rPr>
        <w:t>осуществ</w:t>
      </w:r>
      <w:r>
        <w:rPr>
          <w:rFonts w:ascii="Times New Roman" w:hAnsi="Times New Roman" w:cs="Times New Roman"/>
          <w:sz w:val="28"/>
          <w:szCs w:val="28"/>
        </w:rPr>
        <w:t>лялись</w:t>
      </w:r>
      <w:r w:rsidR="009D5B61">
        <w:rPr>
          <w:rFonts w:ascii="Times New Roman" w:hAnsi="Times New Roman" w:cs="Times New Roman"/>
          <w:sz w:val="28"/>
          <w:szCs w:val="28"/>
        </w:rPr>
        <w:t xml:space="preserve"> </w:t>
      </w:r>
      <w:r w:rsidR="00971EFC">
        <w:rPr>
          <w:rFonts w:ascii="Times New Roman" w:hAnsi="Times New Roman" w:cs="Times New Roman"/>
          <w:sz w:val="28"/>
          <w:szCs w:val="28"/>
        </w:rPr>
        <w:t xml:space="preserve"> </w:t>
      </w:r>
      <w:r w:rsidR="009D5B61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gramEnd"/>
      <w:r w:rsidR="009D5B61">
        <w:rPr>
          <w:rFonts w:ascii="Times New Roman" w:hAnsi="Times New Roman" w:cs="Times New Roman"/>
          <w:sz w:val="28"/>
          <w:szCs w:val="28"/>
        </w:rPr>
        <w:t xml:space="preserve"> </w:t>
      </w:r>
      <w:r w:rsidR="00971EFC">
        <w:rPr>
          <w:rFonts w:ascii="Times New Roman" w:hAnsi="Times New Roman" w:cs="Times New Roman"/>
          <w:sz w:val="28"/>
          <w:szCs w:val="28"/>
        </w:rPr>
        <w:t>на предмет</w:t>
      </w:r>
      <w:r w:rsidR="00C85E3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71EFC">
        <w:rPr>
          <w:rFonts w:ascii="Times New Roman" w:hAnsi="Times New Roman" w:cs="Times New Roman"/>
          <w:sz w:val="28"/>
          <w:szCs w:val="28"/>
        </w:rPr>
        <w:t>я</w:t>
      </w:r>
      <w:r w:rsidR="009D5B61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971EFC">
        <w:rPr>
          <w:rFonts w:ascii="Times New Roman" w:hAnsi="Times New Roman" w:cs="Times New Roman"/>
          <w:sz w:val="28"/>
          <w:szCs w:val="28"/>
        </w:rPr>
        <w:t>ных участков</w:t>
      </w:r>
      <w:r w:rsidR="009D5B61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</w:t>
      </w:r>
      <w:r w:rsidR="00971EFC">
        <w:rPr>
          <w:rFonts w:ascii="Times New Roman" w:hAnsi="Times New Roman" w:cs="Times New Roman"/>
          <w:sz w:val="28"/>
          <w:szCs w:val="28"/>
        </w:rPr>
        <w:t>п</w:t>
      </w:r>
      <w:r w:rsidR="009D5B61">
        <w:rPr>
          <w:rFonts w:ascii="Times New Roman" w:hAnsi="Times New Roman" w:cs="Times New Roman"/>
          <w:sz w:val="28"/>
          <w:szCs w:val="28"/>
        </w:rPr>
        <w:t>редпринимателями</w:t>
      </w:r>
      <w:r w:rsidR="00461B59">
        <w:rPr>
          <w:rFonts w:ascii="Times New Roman" w:hAnsi="Times New Roman" w:cs="Times New Roman"/>
          <w:sz w:val="28"/>
          <w:szCs w:val="28"/>
        </w:rPr>
        <w:t>,</w:t>
      </w:r>
      <w:r w:rsidR="009D5B61">
        <w:rPr>
          <w:rFonts w:ascii="Times New Roman" w:hAnsi="Times New Roman" w:cs="Times New Roman"/>
          <w:sz w:val="28"/>
          <w:szCs w:val="28"/>
        </w:rPr>
        <w:t xml:space="preserve"> гражданами при осуществлении ими своей деятельности и реализации своих прав на землю.</w:t>
      </w:r>
    </w:p>
    <w:p w:rsidR="00250B9B" w:rsidRDefault="00250B9B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>проведено</w:t>
      </w:r>
      <w:r w:rsidRPr="00531684">
        <w:rPr>
          <w:rFonts w:ascii="Times New Roman" w:hAnsi="Times New Roman"/>
          <w:sz w:val="28"/>
          <w:szCs w:val="28"/>
        </w:rPr>
        <w:t xml:space="preserve"> 2</w:t>
      </w:r>
      <w:r w:rsidR="00461B59">
        <w:rPr>
          <w:rFonts w:ascii="Times New Roman" w:hAnsi="Times New Roman"/>
          <w:sz w:val="28"/>
          <w:szCs w:val="28"/>
        </w:rPr>
        <w:t>3</w:t>
      </w:r>
      <w:r w:rsidRPr="00531684">
        <w:rPr>
          <w:rFonts w:ascii="Times New Roman" w:hAnsi="Times New Roman"/>
          <w:sz w:val="28"/>
          <w:szCs w:val="28"/>
        </w:rPr>
        <w:t>3 плановы</w:t>
      </w:r>
      <w:r w:rsidR="00D07819">
        <w:rPr>
          <w:rFonts w:ascii="Times New Roman" w:hAnsi="Times New Roman"/>
          <w:sz w:val="28"/>
          <w:szCs w:val="28"/>
        </w:rPr>
        <w:t>е</w:t>
      </w:r>
      <w:r w:rsidRPr="00531684">
        <w:rPr>
          <w:rFonts w:ascii="Times New Roman" w:hAnsi="Times New Roman"/>
          <w:sz w:val="28"/>
          <w:szCs w:val="28"/>
        </w:rPr>
        <w:t xml:space="preserve"> и внеплановы</w:t>
      </w:r>
      <w:r w:rsidR="00D07819">
        <w:rPr>
          <w:rFonts w:ascii="Times New Roman" w:hAnsi="Times New Roman"/>
          <w:sz w:val="28"/>
          <w:szCs w:val="28"/>
        </w:rPr>
        <w:t>е</w:t>
      </w:r>
      <w:r w:rsidRPr="00531684">
        <w:rPr>
          <w:rFonts w:ascii="Times New Roman" w:hAnsi="Times New Roman"/>
          <w:sz w:val="28"/>
          <w:szCs w:val="28"/>
        </w:rPr>
        <w:t xml:space="preserve"> проверк</w:t>
      </w:r>
      <w:r w:rsidR="00D078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531684">
        <w:rPr>
          <w:rFonts w:ascii="Times New Roman" w:hAnsi="Times New Roman"/>
          <w:sz w:val="28"/>
          <w:szCs w:val="28"/>
        </w:rPr>
        <w:t>муниципального земельного контроля</w:t>
      </w:r>
      <w:r w:rsidR="001B41CB">
        <w:rPr>
          <w:rFonts w:ascii="Times New Roman" w:hAnsi="Times New Roman"/>
          <w:sz w:val="28"/>
          <w:szCs w:val="28"/>
        </w:rPr>
        <w:t xml:space="preserve"> </w:t>
      </w:r>
      <w:r w:rsidR="001B41CB" w:rsidRPr="00AE7177">
        <w:rPr>
          <w:rFonts w:ascii="Times New Roman" w:hAnsi="Times New Roman"/>
          <w:sz w:val="28"/>
          <w:szCs w:val="28"/>
        </w:rPr>
        <w:t>(</w:t>
      </w:r>
      <w:r w:rsidR="00461B59">
        <w:rPr>
          <w:rFonts w:ascii="Times New Roman" w:hAnsi="Times New Roman"/>
          <w:sz w:val="28"/>
          <w:szCs w:val="28"/>
        </w:rPr>
        <w:t>2</w:t>
      </w:r>
      <w:r w:rsidR="001B41CB" w:rsidRPr="00AE7177">
        <w:rPr>
          <w:rFonts w:ascii="Times New Roman" w:hAnsi="Times New Roman"/>
          <w:sz w:val="28"/>
          <w:szCs w:val="28"/>
        </w:rPr>
        <w:t xml:space="preserve"> проверки юридических лиц</w:t>
      </w:r>
      <w:r w:rsidR="001B41CB">
        <w:rPr>
          <w:rFonts w:ascii="Times New Roman" w:hAnsi="Times New Roman"/>
          <w:sz w:val="28"/>
          <w:szCs w:val="28"/>
        </w:rPr>
        <w:t>, 2</w:t>
      </w:r>
      <w:r w:rsidR="00461B59">
        <w:rPr>
          <w:rFonts w:ascii="Times New Roman" w:hAnsi="Times New Roman"/>
          <w:sz w:val="28"/>
          <w:szCs w:val="28"/>
        </w:rPr>
        <w:t>31</w:t>
      </w:r>
      <w:r w:rsidR="001B41CB">
        <w:rPr>
          <w:rFonts w:ascii="Times New Roman" w:hAnsi="Times New Roman"/>
          <w:sz w:val="28"/>
          <w:szCs w:val="28"/>
        </w:rPr>
        <w:t xml:space="preserve"> провер</w:t>
      </w:r>
      <w:r w:rsidR="00461B59">
        <w:rPr>
          <w:rFonts w:ascii="Times New Roman" w:hAnsi="Times New Roman"/>
          <w:sz w:val="28"/>
          <w:szCs w:val="28"/>
        </w:rPr>
        <w:t>ка</w:t>
      </w:r>
      <w:r w:rsidR="001B41CB">
        <w:rPr>
          <w:rFonts w:ascii="Times New Roman" w:hAnsi="Times New Roman"/>
          <w:sz w:val="28"/>
          <w:szCs w:val="28"/>
        </w:rPr>
        <w:t xml:space="preserve"> физических лиц)</w:t>
      </w:r>
      <w:r>
        <w:rPr>
          <w:rFonts w:ascii="Times New Roman" w:hAnsi="Times New Roman"/>
          <w:sz w:val="28"/>
          <w:szCs w:val="28"/>
        </w:rPr>
        <w:t>, по результатам которых выявлено 1</w:t>
      </w:r>
      <w:r w:rsidR="00461B5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нарушений и выданы предписания об устранении нарушений. </w:t>
      </w:r>
    </w:p>
    <w:p w:rsidR="008B6C4C" w:rsidRDefault="00250B9B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61B5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 2021 года </w:t>
      </w:r>
      <w:r w:rsidRPr="00AE7177">
        <w:rPr>
          <w:rFonts w:ascii="Times New Roman" w:hAnsi="Times New Roman"/>
          <w:sz w:val="28"/>
          <w:szCs w:val="28"/>
        </w:rPr>
        <w:t>проведен</w:t>
      </w:r>
      <w:r w:rsidR="00461B59">
        <w:rPr>
          <w:rFonts w:ascii="Times New Roman" w:hAnsi="Times New Roman"/>
          <w:sz w:val="28"/>
          <w:szCs w:val="28"/>
        </w:rPr>
        <w:t>о</w:t>
      </w:r>
      <w:r w:rsidRPr="00AE7177">
        <w:rPr>
          <w:rFonts w:ascii="Times New Roman" w:hAnsi="Times New Roman"/>
          <w:sz w:val="28"/>
          <w:szCs w:val="28"/>
        </w:rPr>
        <w:t xml:space="preserve"> 1</w:t>
      </w:r>
      <w:r w:rsidR="00461B59">
        <w:rPr>
          <w:rFonts w:ascii="Times New Roman" w:hAnsi="Times New Roman"/>
          <w:sz w:val="28"/>
          <w:szCs w:val="28"/>
        </w:rPr>
        <w:t>40</w:t>
      </w:r>
      <w:r w:rsidRPr="00AE7177">
        <w:rPr>
          <w:rFonts w:ascii="Times New Roman" w:hAnsi="Times New Roman"/>
          <w:sz w:val="28"/>
          <w:szCs w:val="28"/>
        </w:rPr>
        <w:t xml:space="preserve"> провер</w:t>
      </w:r>
      <w:r w:rsidR="00461B59">
        <w:rPr>
          <w:rFonts w:ascii="Times New Roman" w:hAnsi="Times New Roman"/>
          <w:sz w:val="28"/>
          <w:szCs w:val="28"/>
        </w:rPr>
        <w:t>ок</w:t>
      </w:r>
      <w:r w:rsidRPr="00AE7177">
        <w:rPr>
          <w:rFonts w:ascii="Times New Roman" w:hAnsi="Times New Roman"/>
          <w:sz w:val="28"/>
          <w:szCs w:val="28"/>
        </w:rPr>
        <w:t xml:space="preserve"> </w:t>
      </w:r>
      <w:r w:rsidR="00461B59">
        <w:rPr>
          <w:rFonts w:ascii="Times New Roman" w:hAnsi="Times New Roman"/>
          <w:sz w:val="28"/>
          <w:szCs w:val="28"/>
        </w:rPr>
        <w:t xml:space="preserve">в рамках </w:t>
      </w:r>
      <w:r w:rsidRPr="00AE7177">
        <w:rPr>
          <w:rFonts w:ascii="Times New Roman" w:hAnsi="Times New Roman"/>
          <w:sz w:val="28"/>
          <w:szCs w:val="28"/>
        </w:rPr>
        <w:t>муниципального земельного контроля (</w:t>
      </w:r>
      <w:r w:rsidR="00461B59">
        <w:rPr>
          <w:rFonts w:ascii="Times New Roman" w:hAnsi="Times New Roman"/>
          <w:sz w:val="28"/>
          <w:szCs w:val="28"/>
        </w:rPr>
        <w:t>1</w:t>
      </w:r>
      <w:r w:rsidRPr="00AE7177">
        <w:rPr>
          <w:rFonts w:ascii="Times New Roman" w:hAnsi="Times New Roman"/>
          <w:sz w:val="28"/>
          <w:szCs w:val="28"/>
        </w:rPr>
        <w:t xml:space="preserve"> проверк</w:t>
      </w:r>
      <w:r w:rsidR="00D07819">
        <w:rPr>
          <w:rFonts w:ascii="Times New Roman" w:hAnsi="Times New Roman"/>
          <w:sz w:val="28"/>
          <w:szCs w:val="28"/>
        </w:rPr>
        <w:t>а</w:t>
      </w:r>
      <w:r w:rsidRPr="00AE7177">
        <w:rPr>
          <w:rFonts w:ascii="Times New Roman" w:hAnsi="Times New Roman"/>
          <w:sz w:val="28"/>
          <w:szCs w:val="28"/>
        </w:rPr>
        <w:t xml:space="preserve"> юридическ</w:t>
      </w:r>
      <w:r w:rsidR="00461B59">
        <w:rPr>
          <w:rFonts w:ascii="Times New Roman" w:hAnsi="Times New Roman"/>
          <w:sz w:val="28"/>
          <w:szCs w:val="28"/>
        </w:rPr>
        <w:t>ого</w:t>
      </w:r>
      <w:r w:rsidRPr="00AE7177">
        <w:rPr>
          <w:rFonts w:ascii="Times New Roman" w:hAnsi="Times New Roman"/>
          <w:sz w:val="28"/>
          <w:szCs w:val="28"/>
        </w:rPr>
        <w:t xml:space="preserve"> лиц</w:t>
      </w:r>
      <w:r w:rsidR="00461B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1</w:t>
      </w:r>
      <w:r w:rsidR="00461B59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проверок физических лиц)</w:t>
      </w:r>
      <w:r w:rsidR="001B41CB">
        <w:rPr>
          <w:rFonts w:ascii="Times New Roman" w:hAnsi="Times New Roman"/>
          <w:sz w:val="28"/>
          <w:szCs w:val="28"/>
        </w:rPr>
        <w:t>,</w:t>
      </w:r>
      <w:r w:rsidR="001B41CB" w:rsidRPr="001B41CB">
        <w:rPr>
          <w:rFonts w:ascii="Times New Roman" w:hAnsi="Times New Roman"/>
          <w:sz w:val="28"/>
          <w:szCs w:val="28"/>
        </w:rPr>
        <w:t xml:space="preserve"> </w:t>
      </w:r>
      <w:r w:rsidR="001B41CB" w:rsidRPr="00AE7177">
        <w:rPr>
          <w:rFonts w:ascii="Times New Roman" w:hAnsi="Times New Roman"/>
          <w:sz w:val="28"/>
          <w:szCs w:val="28"/>
        </w:rPr>
        <w:t xml:space="preserve">из них </w:t>
      </w:r>
      <w:r w:rsidR="00461B59">
        <w:rPr>
          <w:rFonts w:ascii="Times New Roman" w:hAnsi="Times New Roman"/>
          <w:sz w:val="28"/>
          <w:szCs w:val="28"/>
        </w:rPr>
        <w:t>68</w:t>
      </w:r>
      <w:r w:rsidR="001B41CB" w:rsidRPr="00AE7177">
        <w:rPr>
          <w:rFonts w:ascii="Times New Roman" w:hAnsi="Times New Roman"/>
          <w:sz w:val="28"/>
          <w:szCs w:val="28"/>
        </w:rPr>
        <w:t xml:space="preserve"> плановых проверок, </w:t>
      </w:r>
      <w:r w:rsidR="00461B59">
        <w:rPr>
          <w:rFonts w:ascii="Times New Roman" w:hAnsi="Times New Roman"/>
          <w:sz w:val="28"/>
          <w:szCs w:val="28"/>
        </w:rPr>
        <w:t>72</w:t>
      </w:r>
      <w:r w:rsidR="001B41CB" w:rsidRPr="00AE7177">
        <w:rPr>
          <w:rFonts w:ascii="Times New Roman" w:hAnsi="Times New Roman"/>
          <w:sz w:val="28"/>
          <w:szCs w:val="28"/>
        </w:rPr>
        <w:t xml:space="preserve"> внеплановы</w:t>
      </w:r>
      <w:r w:rsidR="00461B59">
        <w:rPr>
          <w:rFonts w:ascii="Times New Roman" w:hAnsi="Times New Roman"/>
          <w:sz w:val="28"/>
          <w:szCs w:val="28"/>
        </w:rPr>
        <w:t>е</w:t>
      </w:r>
      <w:r w:rsidR="001B41CB" w:rsidRPr="00AE7177">
        <w:rPr>
          <w:rFonts w:ascii="Times New Roman" w:hAnsi="Times New Roman"/>
          <w:sz w:val="28"/>
          <w:szCs w:val="28"/>
        </w:rPr>
        <w:t xml:space="preserve"> провер</w:t>
      </w:r>
      <w:r w:rsidR="00461B59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E7177">
        <w:rPr>
          <w:rFonts w:ascii="Times New Roman" w:hAnsi="Times New Roman"/>
          <w:sz w:val="28"/>
          <w:szCs w:val="28"/>
        </w:rPr>
        <w:t xml:space="preserve">По результатам проведения таких проверок выявлено </w:t>
      </w:r>
      <w:r w:rsidR="00461B59">
        <w:rPr>
          <w:rFonts w:ascii="Times New Roman" w:hAnsi="Times New Roman"/>
          <w:sz w:val="28"/>
          <w:szCs w:val="28"/>
        </w:rPr>
        <w:t>58</w:t>
      </w:r>
      <w:r w:rsidRPr="00AE7177">
        <w:rPr>
          <w:rFonts w:ascii="Times New Roman" w:hAnsi="Times New Roman"/>
          <w:sz w:val="28"/>
          <w:szCs w:val="28"/>
        </w:rPr>
        <w:t xml:space="preserve"> нарушени</w:t>
      </w:r>
      <w:r w:rsidR="00461B59">
        <w:rPr>
          <w:rFonts w:ascii="Times New Roman" w:hAnsi="Times New Roman"/>
          <w:sz w:val="28"/>
          <w:szCs w:val="28"/>
        </w:rPr>
        <w:t>й</w:t>
      </w:r>
      <w:r w:rsidRPr="00AE7177">
        <w:rPr>
          <w:rFonts w:ascii="Times New Roman" w:hAnsi="Times New Roman"/>
          <w:sz w:val="28"/>
          <w:szCs w:val="28"/>
        </w:rPr>
        <w:t xml:space="preserve"> </w:t>
      </w:r>
      <w:r w:rsidR="00461B59">
        <w:rPr>
          <w:rFonts w:ascii="Times New Roman" w:hAnsi="Times New Roman"/>
          <w:sz w:val="28"/>
          <w:szCs w:val="28"/>
        </w:rPr>
        <w:t>земельного законодательства</w:t>
      </w:r>
      <w:r>
        <w:rPr>
          <w:rFonts w:ascii="Times New Roman" w:hAnsi="Times New Roman"/>
          <w:sz w:val="28"/>
          <w:szCs w:val="28"/>
        </w:rPr>
        <w:t xml:space="preserve"> физическими лицами.</w:t>
      </w:r>
      <w:r w:rsidR="00336CFB">
        <w:rPr>
          <w:rFonts w:ascii="Times New Roman" w:hAnsi="Times New Roman"/>
          <w:sz w:val="28"/>
          <w:szCs w:val="28"/>
        </w:rPr>
        <w:t xml:space="preserve"> </w:t>
      </w:r>
    </w:p>
    <w:p w:rsidR="00EF13A0" w:rsidRDefault="00EF13A0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проведения контрольных мероприятий показывает, что наиболее распространенным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9544EB" w:rsidRDefault="009544EB" w:rsidP="00234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544EB">
        <w:rPr>
          <w:rFonts w:ascii="Times New Roman" w:hAnsi="Times New Roman"/>
          <w:sz w:val="28"/>
          <w:szCs w:val="28"/>
        </w:rPr>
        <w:t>о муниципальном земельном контроле на территории муниципального образования</w:t>
      </w:r>
      <w:r w:rsidR="00F4676A">
        <w:rPr>
          <w:rFonts w:ascii="Times New Roman" w:hAnsi="Times New Roman"/>
          <w:sz w:val="28"/>
          <w:szCs w:val="28"/>
        </w:rPr>
        <w:t xml:space="preserve"> Старорусский муниципальный район</w:t>
      </w:r>
      <w:r>
        <w:rPr>
          <w:rFonts w:ascii="Times New Roman" w:hAnsi="Times New Roman"/>
          <w:sz w:val="28"/>
          <w:szCs w:val="28"/>
        </w:rPr>
        <w:t>, утверждено решение</w:t>
      </w:r>
      <w:r w:rsidR="0005688C">
        <w:rPr>
          <w:rFonts w:ascii="Times New Roman" w:hAnsi="Times New Roman"/>
          <w:sz w:val="28"/>
          <w:szCs w:val="28"/>
        </w:rPr>
        <w:t xml:space="preserve">м </w:t>
      </w:r>
      <w:r w:rsidR="00F4676A">
        <w:rPr>
          <w:rFonts w:ascii="Times New Roman" w:hAnsi="Times New Roman"/>
          <w:sz w:val="28"/>
          <w:szCs w:val="28"/>
        </w:rPr>
        <w:t>Думы Старорусского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4676A">
        <w:rPr>
          <w:rFonts w:ascii="Times New Roman" w:hAnsi="Times New Roman"/>
          <w:sz w:val="28"/>
          <w:szCs w:val="28"/>
        </w:rPr>
        <w:t>01</w:t>
      </w:r>
      <w:r w:rsidR="00762AC8">
        <w:rPr>
          <w:rFonts w:ascii="Times New Roman" w:hAnsi="Times New Roman"/>
          <w:sz w:val="28"/>
          <w:szCs w:val="28"/>
        </w:rPr>
        <w:t>.</w:t>
      </w:r>
      <w:r w:rsidR="0005688C">
        <w:rPr>
          <w:rFonts w:ascii="Times New Roman" w:hAnsi="Times New Roman"/>
          <w:sz w:val="28"/>
          <w:szCs w:val="28"/>
        </w:rPr>
        <w:t>10</w:t>
      </w:r>
      <w:r w:rsidR="00762AC8">
        <w:rPr>
          <w:rFonts w:ascii="Times New Roman" w:hAnsi="Times New Roman"/>
          <w:sz w:val="28"/>
          <w:szCs w:val="28"/>
        </w:rPr>
        <w:t>.2021 №</w:t>
      </w:r>
      <w:r w:rsidR="00F4676A">
        <w:rPr>
          <w:rFonts w:ascii="Times New Roman" w:hAnsi="Times New Roman"/>
          <w:sz w:val="28"/>
          <w:szCs w:val="28"/>
        </w:rPr>
        <w:t>75</w:t>
      </w:r>
      <w:r w:rsidR="00A0166A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A0166A" w:rsidRPr="00A0166A">
        <w:rPr>
          <w:rFonts w:ascii="Times New Roman" w:hAnsi="Times New Roman"/>
          <w:sz w:val="28"/>
          <w:szCs w:val="28"/>
        </w:rPr>
        <w:t xml:space="preserve"> </w:t>
      </w:r>
      <w:r w:rsidR="00A0166A" w:rsidRPr="009544EB">
        <w:rPr>
          <w:rFonts w:ascii="Times New Roman" w:hAnsi="Times New Roman"/>
          <w:sz w:val="28"/>
          <w:szCs w:val="28"/>
        </w:rPr>
        <w:t>о муниципальном земельном контроле</w:t>
      </w:r>
      <w:r w:rsidR="00A016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rFonts w:ascii="Times New Roman" w:eastAsia="Times New Roman" w:hAnsi="Times New Roman"/>
          <w:sz w:val="28"/>
          <w:szCs w:val="28"/>
        </w:rPr>
        <w:t xml:space="preserve">предусматривает применение системы управления рисками при осуществлении муниципального земельного контроля, утверждение критериев отнесения земельных участков к категориям риска, </w:t>
      </w:r>
      <w:r>
        <w:rPr>
          <w:rFonts w:ascii="Times New Roman" w:hAnsi="Times New Roman"/>
          <w:sz w:val="28"/>
          <w:szCs w:val="28"/>
        </w:rPr>
        <w:t xml:space="preserve">виды и периодичность проведения плановых контрольных (надзорных) мероприятий для каждой категории риска, </w:t>
      </w:r>
      <w:r>
        <w:rPr>
          <w:rFonts w:ascii="Times New Roman" w:eastAsia="Times New Roman" w:hAnsi="Times New Roman"/>
          <w:sz w:val="28"/>
          <w:szCs w:val="28"/>
        </w:rPr>
        <w:t>индикаторов риска нарушения обязательных требований.</w:t>
      </w:r>
    </w:p>
    <w:p w:rsidR="0005688C" w:rsidRDefault="0005688C" w:rsidP="002344FF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на 2021 год и плановый период 2022-2023 гг. утверждена постановлением Администрации Старорусского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27.11.2020 №2130.</w:t>
      </w:r>
    </w:p>
    <w:p w:rsidR="00490357" w:rsidRPr="0045473F" w:rsidRDefault="00490357" w:rsidP="002344FF">
      <w:pPr>
        <w:pStyle w:val="Standard"/>
        <w:widowControl w:val="0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 w:rsidR="00EF13A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территории муниципального образования </w:t>
      </w:r>
      <w:r w:rsidR="00F4676A">
        <w:rPr>
          <w:rFonts w:ascii="Times New Roman" w:hAnsi="Times New Roman" w:cs="Times New Roman"/>
          <w:bCs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 года проведены следующие мероприятия:</w:t>
      </w:r>
    </w:p>
    <w:p w:rsidR="00490357" w:rsidRPr="0045473F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муниципального района в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сети Интернет в подразделе "Профилактика правонарушений" раздела "Муниципальный контроль" и в подразделе «Профилактика нарушений»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раздела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Отдел контроля» размещены: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правовые акты по организации муниципального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контроля;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контролю, которые поддерживаются в актуальном состоянии;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руководство по соблюдению обязательных требований;</w:t>
      </w:r>
    </w:p>
    <w:p w:rsidR="002C44D6" w:rsidRDefault="002C44D6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отношении 3 подконтрольных субъектов проведены профилактические мероприятия;</w:t>
      </w:r>
    </w:p>
    <w:p w:rsidR="00490357" w:rsidRDefault="00490357" w:rsidP="002344FF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осуществлялось консультирование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58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земельного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490357" w:rsidRDefault="00490357" w:rsidP="002344FF">
      <w:pPr>
        <w:pStyle w:val="ConsPlusNormal"/>
        <w:widowControl w:val="0"/>
        <w:suppressAutoHyphens/>
        <w:ind w:firstLine="709"/>
        <w:jc w:val="both"/>
      </w:pPr>
      <w:r>
        <w:t xml:space="preserve">проведено </w:t>
      </w:r>
      <w:r w:rsidR="002C44D6">
        <w:t>8</w:t>
      </w:r>
      <w:r>
        <w:t xml:space="preserve"> плановых (рейдовых) осмотров земельных участков, по результатам которых юридическим лицам, индивидуальным предпринимателям, гражданам выдано 3</w:t>
      </w:r>
      <w:r w:rsidRPr="00336597">
        <w:t xml:space="preserve"> предостережени</w:t>
      </w:r>
      <w:r>
        <w:t>я о недопустимости нарушения обязательных требований</w:t>
      </w:r>
      <w:r w:rsidRPr="00336597">
        <w:t xml:space="preserve"> </w:t>
      </w:r>
      <w:r>
        <w:t>земельного законодательства;</w:t>
      </w:r>
    </w:p>
    <w:p w:rsidR="00490357" w:rsidRPr="0045473F" w:rsidRDefault="00490357" w:rsidP="002344FF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обобщена практика осуществления муниципального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>земельного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A2555D">
        <w:rPr>
          <w:rFonts w:ascii="Times New Roman" w:hAnsi="Times New Roman" w:cs="Times New Roman"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2020 году, которая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размещена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муниципального района в подразделе «Информация о проведенных контрольных мероприятиях» раздела  «Отдел контроля» и в подразделе «Муниципальный контроль» раздела «Муниципальный контроль».</w:t>
      </w:r>
    </w:p>
    <w:p w:rsidR="00490357" w:rsidRDefault="0049035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75"/>
      <w:bookmarkEnd w:id="4"/>
    </w:p>
    <w:p w:rsidR="00802A67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2D2395" w:rsidRDefault="002D2395" w:rsidP="002D2395">
      <w:pPr>
        <w:pStyle w:val="a3"/>
        <w:numPr>
          <w:ilvl w:val="0"/>
          <w:numId w:val="11"/>
        </w:numPr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2395" w:rsidRDefault="002D2395" w:rsidP="002D2395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2395" w:rsidRDefault="002D2395" w:rsidP="002D239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iCs/>
          <w:sz w:val="28"/>
          <w:szCs w:val="28"/>
          <w:lang w:eastAsia="ar-SA"/>
        </w:rPr>
        <w:t xml:space="preserve">муниципального земельного контроля на территории муниципального образования </w:t>
      </w:r>
      <w:r w:rsidR="00C51099">
        <w:rPr>
          <w:iCs/>
          <w:sz w:val="28"/>
          <w:szCs w:val="28"/>
          <w:lang w:eastAsia="ar-SA"/>
        </w:rPr>
        <w:t>Старорусский муниципальный район</w:t>
      </w:r>
      <w:r>
        <w:rPr>
          <w:i/>
          <w:color w:val="auto"/>
          <w:sz w:val="28"/>
          <w:szCs w:val="28"/>
        </w:rPr>
        <w:t>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2395" w:rsidRDefault="002D2395" w:rsidP="002D2395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D2395" w:rsidRDefault="002D2395" w:rsidP="002D2395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 xml:space="preserve"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</w:t>
      </w:r>
      <w:r>
        <w:rPr>
          <w:sz w:val="28"/>
          <w:szCs w:val="28"/>
        </w:rPr>
        <w:lastRenderedPageBreak/>
        <w:t>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07E37" w:rsidRPr="00107E37" w:rsidRDefault="00107E37" w:rsidP="002344F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0DDA" w:rsidRPr="00107E37" w:rsidRDefault="00150DDA" w:rsidP="00234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7E3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0166A" w:rsidRPr="00AF6955" w:rsidRDefault="00A0166A" w:rsidP="00234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F6955">
        <w:rPr>
          <w:rFonts w:ascii="Times New Roman" w:eastAsia="Calibri" w:hAnsi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/>
          <w:sz w:val="28"/>
          <w:szCs w:val="28"/>
        </w:rPr>
        <w:t>муниципального земельного контроля</w:t>
      </w:r>
      <w:r w:rsidRPr="00AF6955">
        <w:rPr>
          <w:rFonts w:ascii="Times New Roman" w:eastAsia="Calibri" w:hAnsi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56246" w:rsidRDefault="00A0166A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5" w:name="P85"/>
      <w:bookmarkEnd w:id="5"/>
      <w:r w:rsidRPr="00A0166A">
        <w:rPr>
          <w:rFonts w:ascii="Times New Roman" w:hAnsi="Times New Roman" w:cs="Times New Roman"/>
          <w:bCs/>
          <w:sz w:val="28"/>
          <w:szCs w:val="28"/>
        </w:rPr>
        <w:t>Положением о муниципальном земельном контроле</w:t>
      </w:r>
      <w:r w:rsidR="00A2555D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Старорусский муниципальный район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</w:t>
      </w:r>
      <w:r w:rsidR="00A2555D">
        <w:rPr>
          <w:rFonts w:ascii="Times New Roman" w:hAnsi="Times New Roman" w:cs="Times New Roman"/>
          <w:bCs/>
          <w:sz w:val="28"/>
          <w:szCs w:val="28"/>
        </w:rPr>
        <w:t>Думы Старорусского муниципального района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862" w:rsidRPr="007D556F">
        <w:rPr>
          <w:rFonts w:ascii="Times New Roman" w:hAnsi="Times New Roman" w:cs="Times New Roman"/>
          <w:bCs/>
          <w:sz w:val="28"/>
          <w:szCs w:val="28"/>
        </w:rPr>
        <w:t>от</w:t>
      </w:r>
      <w:r w:rsidR="007D556F" w:rsidRPr="007D5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55D">
        <w:rPr>
          <w:rFonts w:ascii="Times New Roman" w:hAnsi="Times New Roman" w:cs="Times New Roman"/>
          <w:bCs/>
          <w:sz w:val="28"/>
          <w:szCs w:val="28"/>
        </w:rPr>
        <w:t>01</w:t>
      </w:r>
      <w:r w:rsidR="007D556F" w:rsidRPr="007D556F">
        <w:rPr>
          <w:rFonts w:ascii="Times New Roman" w:hAnsi="Times New Roman" w:cs="Times New Roman"/>
          <w:bCs/>
          <w:sz w:val="28"/>
          <w:szCs w:val="28"/>
        </w:rPr>
        <w:t>.10.2021 №</w:t>
      </w:r>
      <w:r w:rsidR="00A2555D">
        <w:rPr>
          <w:rFonts w:ascii="Times New Roman" w:hAnsi="Times New Roman" w:cs="Times New Roman"/>
          <w:bCs/>
          <w:sz w:val="28"/>
          <w:szCs w:val="28"/>
        </w:rPr>
        <w:t>75</w:t>
      </w:r>
      <w:r w:rsidR="007D556F">
        <w:rPr>
          <w:rFonts w:ascii="Times New Roman" w:hAnsi="Times New Roman" w:cs="Times New Roman"/>
          <w:bCs/>
          <w:sz w:val="28"/>
          <w:szCs w:val="28"/>
        </w:rPr>
        <w:t>,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166A">
        <w:rPr>
          <w:rFonts w:ascii="Times New Roman" w:hAnsi="Times New Roman" w:cs="Times New Roman"/>
          <w:bCs/>
          <w:sz w:val="28"/>
          <w:szCs w:val="28"/>
        </w:rPr>
        <w:t>установлены следующие виды профилактических мероприятий: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4753"/>
        <w:gridCol w:w="1134"/>
        <w:gridCol w:w="1417"/>
      </w:tblGrid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профилак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тического</w:t>
            </w:r>
            <w:proofErr w:type="spellEnd"/>
            <w:proofErr w:type="gram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Описание профилактического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Структурное </w:t>
            </w:r>
            <w:proofErr w:type="gram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подразделе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ние</w:t>
            </w:r>
            <w:proofErr w:type="spellEnd"/>
            <w:proofErr w:type="gram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ответствен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proofErr w:type="spellStart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ное</w:t>
            </w:r>
            <w:proofErr w:type="spellEnd"/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реализацию</w:t>
            </w:r>
          </w:p>
        </w:tc>
      </w:tr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</w:t>
            </w:r>
            <w:r w:rsidR="00605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05862">
              <w:rPr>
                <w:rFonts w:ascii="Times New Roman" w:hAnsi="Times New Roman"/>
                <w:sz w:val="24"/>
                <w:szCs w:val="24"/>
              </w:rPr>
              <w:lastRenderedPageBreak/>
              <w:t>8-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10,</w:t>
            </w:r>
            <w:r w:rsidR="00605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14, 16 </w:t>
            </w:r>
            <w:hyperlink r:id="rId7" w:history="1">
              <w:r w:rsidRPr="006718D6">
                <w:rPr>
                  <w:rFonts w:ascii="Times New Roman" w:hAnsi="Times New Roman"/>
                  <w:sz w:val="24"/>
                  <w:szCs w:val="24"/>
                </w:rPr>
                <w:t>части 3 статьи 46</w:t>
              </w:r>
            </w:hyperlink>
            <w:r w:rsidRPr="006718D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на официальном сайте Администрации </w:t>
            </w:r>
            <w:r w:rsidR="00B425E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51CCB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сети «Интернет» в 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» раздела «Муниципальный контроль»</w:t>
            </w:r>
            <w:r w:rsidR="00124A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 раздела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Отдел контроля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размещаются и поддерживаются в актуальном состоянии следующие сведения: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</w:t>
            </w:r>
            <w:proofErr w:type="gramStart"/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земельного  контроля</w:t>
            </w:r>
            <w:proofErr w:type="gramEnd"/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8" w:history="1">
              <w:r w:rsidRPr="006718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6718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6) перечень земельных участков,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7) программа профилактики рисков причинения вреда и план проведения плановых контрольных (надзорных) мероприятий;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8) исчерпывающий перечень сведений, которые могут запрашиваться Администрацией </w:t>
            </w:r>
            <w:r w:rsidR="001F63E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у контролируемого лица;</w:t>
            </w:r>
          </w:p>
          <w:p w:rsidR="009C39F5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сведения о способах получения консультаций по вопросам соблюдения обязательных требований;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доклад о муниципальном земельном контроле;</w:t>
            </w:r>
          </w:p>
          <w:p w:rsidR="00790156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</w:t>
            </w:r>
            <w:r w:rsidR="0027109D" w:rsidRPr="006718D6">
              <w:rPr>
                <w:rFonts w:ascii="Times New Roman" w:hAnsi="Times New Roman" w:cs="Times New Roman"/>
                <w:sz w:val="24"/>
                <w:szCs w:val="24"/>
              </w:rPr>
              <w:t>актики рисков причинения вреда.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60586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rPr>
          <w:trHeight w:val="5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Объявление контролируемому лицу </w:t>
            </w:r>
            <w:r w:rsidRPr="006718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предостережения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 недопустимости нарушения обязательных требований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(далее - предостережение)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объявляется и направляется контролируемому лицу </w:t>
            </w:r>
            <w:r w:rsidR="0069173E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позднее 30 дней со дня получения указанных сведений</w:t>
            </w:r>
            <w:r w:rsidR="0069173E" w:rsidRPr="0059350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="0069173E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письменной форме или в форме электронного документа</w:t>
            </w:r>
            <w:r w:rsidR="0069173E"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наличии </w:t>
            </w:r>
            <w:proofErr w:type="spellStart"/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основанийне</w:t>
            </w:r>
            <w:proofErr w:type="spellEnd"/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позднее 30 дней со дня получения сведений, указанных в части 1 статьи 49 ФЗ №248 от 31.07.2020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1F63E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контроля, которое осуществляется по обращениям контролируемых лиц и их представителей.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 письменной </w:t>
            </w:r>
            <w:proofErr w:type="gramStart"/>
            <w:r w:rsidRPr="006718D6">
              <w:rPr>
                <w:rFonts w:ascii="Times New Roman" w:hAnsi="Times New Roman"/>
                <w:sz w:val="24"/>
                <w:szCs w:val="24"/>
              </w:rPr>
              <w:t>форме  по</w:t>
            </w:r>
            <w:proofErr w:type="gramEnd"/>
            <w:r w:rsidRPr="006718D6">
              <w:rPr>
                <w:rFonts w:ascii="Times New Roman" w:hAnsi="Times New Roman"/>
                <w:sz w:val="24"/>
                <w:szCs w:val="24"/>
              </w:rPr>
              <w:t xml:space="preserve"> следующим вопросам: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lastRenderedPageBreak/>
              <w:t>2) порядок осуществления профилактических, контрольных (надзорных) мероприятий, установленных настоящим Положением;</w:t>
            </w:r>
          </w:p>
          <w:p w:rsidR="00D00C91" w:rsidRPr="006718D6" w:rsidRDefault="001F63EC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0C91" w:rsidRPr="006718D6">
              <w:rPr>
                <w:rFonts w:ascii="Times New Roman" w:hAnsi="Times New Roman"/>
                <w:sz w:val="24"/>
                <w:szCs w:val="24"/>
              </w:rPr>
      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="00C00BB8">
              <w:rPr>
                <w:rFonts w:ascii="Times New Roman" w:hAnsi="Times New Roman"/>
                <w:sz w:val="24"/>
                <w:szCs w:val="24"/>
              </w:rPr>
              <w:t>, который ведется в электронной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обращениям контролируемых лиц и их уполномоченных представителей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C00BB8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</w:tbl>
    <w:p w:rsidR="00D56246" w:rsidRDefault="00D56246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7D55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A2370A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A2370A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повышением эффективности системы профилактики нарушений обязательных требований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>;</w:t>
      </w:r>
    </w:p>
    <w:p w:rsidR="00A2370A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 повышением уровня правовой грамотности контролируемых лиц в вопросах исполнения обязательных требований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>, степенью их информативности об обязательных требованиях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>, о принятых и готовящихся изменениях в системе обязательных требований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 xml:space="preserve">, о порядке проведения 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A2555D">
        <w:rPr>
          <w:color w:val="000000"/>
          <w:sz w:val="28"/>
          <w:szCs w:val="28"/>
          <w:lang w:val="ru-RU" w:eastAsia="ru-RU" w:bidi="ar-SA"/>
        </w:rPr>
        <w:t xml:space="preserve">, правах контролируемых лиц в ходе </w:t>
      </w:r>
      <w:r w:rsidR="00740DE2" w:rsidRPr="00A2555D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A2555D">
        <w:rPr>
          <w:color w:val="000000"/>
          <w:sz w:val="28"/>
          <w:szCs w:val="28"/>
          <w:lang w:val="ru-RU" w:eastAsia="ru-RU" w:bidi="ar-SA"/>
        </w:rPr>
        <w:t>;</w:t>
      </w:r>
    </w:p>
    <w:p w:rsidR="00762AC8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снижением количества правонарушений при осуществлении контролируемыми лицами</w:t>
      </w:r>
      <w:r w:rsidR="00762AC8" w:rsidRPr="00A2555D">
        <w:rPr>
          <w:color w:val="000000"/>
          <w:sz w:val="28"/>
          <w:szCs w:val="28"/>
          <w:lang w:val="ru-RU" w:eastAsia="ru-RU" w:bidi="ar-SA"/>
        </w:rPr>
        <w:t xml:space="preserve"> своей деятельности.</w:t>
      </w:r>
    </w:p>
    <w:p w:rsidR="008E3AAC" w:rsidRDefault="00A2370A" w:rsidP="002344FF">
      <w:pPr>
        <w:pStyle w:val="a4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A2555D">
        <w:rPr>
          <w:color w:val="000000" w:themeColor="text1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</w:t>
      </w:r>
      <w:r w:rsidR="00121A08" w:rsidRPr="00A2555D">
        <w:rPr>
          <w:color w:val="000000" w:themeColor="text1"/>
          <w:sz w:val="28"/>
          <w:szCs w:val="28"/>
          <w:lang w:val="ru-RU" w:eastAsia="ru-RU" w:bidi="ar-SA"/>
        </w:rPr>
        <w:t>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Целевое значение 2022 год, 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173E" w:rsidRPr="00F9722A" w:rsidTr="0003257B">
        <w:trPr>
          <w:trHeight w:val="4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консультаций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9173E" w:rsidRPr="00F9722A" w:rsidTr="0003257B">
        <w:trPr>
          <w:trHeight w:val="2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2C44D6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173E"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8E3AAC" w:rsidRDefault="008E3AAC" w:rsidP="002344FF">
      <w:pPr>
        <w:pStyle w:val="a4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</w:p>
    <w:p w:rsidR="008E3AAC" w:rsidRPr="00A2555D" w:rsidRDefault="008E3AAC" w:rsidP="002344FF">
      <w:pPr>
        <w:pStyle w:val="a4"/>
        <w:ind w:left="0" w:firstLine="567"/>
        <w:rPr>
          <w:color w:val="000000" w:themeColor="text1"/>
          <w:sz w:val="28"/>
          <w:szCs w:val="28"/>
          <w:lang w:val="ru-RU" w:eastAsia="ru-RU" w:bidi="ar-SA"/>
        </w:rPr>
      </w:pPr>
      <w:r w:rsidRPr="00A2555D">
        <w:rPr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662529" w:rsidRPr="007A0E6B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</w:t>
      </w: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- снижение количества выявленных нар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ушений обязательных требований</w:t>
      </w:r>
      <w:r w:rsid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земельного законодательства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при увеличении количества и качества проводимых профилактических мероприятий.</w:t>
      </w:r>
    </w:p>
    <w:p w:rsidR="00662529" w:rsidRPr="007A0E6B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ультатов снижения причиняемого контролируемыми лицами </w:t>
      </w: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вреда (ущерба) охраняемым законом ценностям при проведении профилактических мероприятий.</w:t>
      </w:r>
    </w:p>
    <w:p w:rsidR="00662529" w:rsidRPr="00E80393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 </w:t>
      </w:r>
      <w:r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 муниципальному земельному контролю:</w:t>
      </w:r>
    </w:p>
    <w:p w:rsidR="00662529" w:rsidRPr="006718D6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оличество выявленных нарушений </w:t>
      </w:r>
      <w:r w:rsidR="00BF4E38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требований </w:t>
      </w:r>
      <w:r w:rsidR="00662529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земельного законодательства, шт.</w:t>
      </w:r>
    </w:p>
    <w:p w:rsidR="00662529" w:rsidRPr="00E80393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</w:t>
      </w:r>
      <w:r w:rsidR="00BF4E38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ых профилактических мероприятий, шт.</w:t>
      </w:r>
    </w:p>
    <w:p w:rsidR="00662529" w:rsidRPr="00E80393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662529" w:rsidRPr="006718D6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с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нижение количества выявленных при проведении контрольно-</w:t>
      </w:r>
      <w:r w:rsidR="00662529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надзорных мероприятий нарушений </w:t>
      </w:r>
      <w:r w:rsidR="00BF4E38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требований земельного законодательства.</w:t>
      </w:r>
    </w:p>
    <w:p w:rsidR="00662529" w:rsidRPr="00E80393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проведенных профилактических мероприятий контрольным (надзорным) органом, ед.</w:t>
      </w:r>
    </w:p>
    <w:p w:rsidR="00662529" w:rsidRPr="00E80393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д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оля профилактических мероприятий в объеме контрольно-надзорных мероприятий, %.</w:t>
      </w:r>
    </w:p>
    <w:p w:rsidR="00662529" w:rsidRPr="003F6ECB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3F6EC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A3795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</w:t>
      </w:r>
      <w:r w:rsidR="003F6ECB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иципального земельного контроля.</w:t>
      </w:r>
    </w:p>
    <w:p w:rsidR="002C4AB8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2C4AB8" w:rsidRPr="006718D6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</w:t>
      </w:r>
    </w:p>
    <w:sectPr w:rsidR="002C4AB8" w:rsidRPr="006718D6" w:rsidSect="00CD43C8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Cambria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CB54D8"/>
    <w:multiLevelType w:val="multilevel"/>
    <w:tmpl w:val="4B08DA8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0BC20FB"/>
    <w:multiLevelType w:val="multilevel"/>
    <w:tmpl w:val="D1E61B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355554"/>
    <w:multiLevelType w:val="multilevel"/>
    <w:tmpl w:val="7E8068E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CC435CD"/>
    <w:multiLevelType w:val="hybridMultilevel"/>
    <w:tmpl w:val="DD72EE84"/>
    <w:lvl w:ilvl="0" w:tplc="F4889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F60D36"/>
    <w:multiLevelType w:val="multilevel"/>
    <w:tmpl w:val="F3C2E1EE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C47272D"/>
    <w:multiLevelType w:val="hybridMultilevel"/>
    <w:tmpl w:val="2EF00A38"/>
    <w:lvl w:ilvl="0" w:tplc="44E2217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901963"/>
    <w:multiLevelType w:val="multilevel"/>
    <w:tmpl w:val="42A645B4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106B9F"/>
    <w:multiLevelType w:val="hybridMultilevel"/>
    <w:tmpl w:val="36ACCCCE"/>
    <w:lvl w:ilvl="0" w:tplc="C0F65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50C22"/>
    <w:rsid w:val="0005688C"/>
    <w:rsid w:val="000A1210"/>
    <w:rsid w:val="000B1319"/>
    <w:rsid w:val="000C4048"/>
    <w:rsid w:val="000C6765"/>
    <w:rsid w:val="000D3750"/>
    <w:rsid w:val="000E47F4"/>
    <w:rsid w:val="00103203"/>
    <w:rsid w:val="00106C57"/>
    <w:rsid w:val="00107BEC"/>
    <w:rsid w:val="00107E37"/>
    <w:rsid w:val="00120820"/>
    <w:rsid w:val="00121A08"/>
    <w:rsid w:val="00124A29"/>
    <w:rsid w:val="00150DDA"/>
    <w:rsid w:val="00193D28"/>
    <w:rsid w:val="001B41CB"/>
    <w:rsid w:val="001B500E"/>
    <w:rsid w:val="001F111F"/>
    <w:rsid w:val="001F63EC"/>
    <w:rsid w:val="00202A7F"/>
    <w:rsid w:val="00232EA3"/>
    <w:rsid w:val="00232FFD"/>
    <w:rsid w:val="002344FF"/>
    <w:rsid w:val="00245F1C"/>
    <w:rsid w:val="00250B9B"/>
    <w:rsid w:val="002565CC"/>
    <w:rsid w:val="002571A3"/>
    <w:rsid w:val="00264E0B"/>
    <w:rsid w:val="0027109D"/>
    <w:rsid w:val="00284B55"/>
    <w:rsid w:val="0029515A"/>
    <w:rsid w:val="002A3795"/>
    <w:rsid w:val="002A4A91"/>
    <w:rsid w:val="002C44D6"/>
    <w:rsid w:val="002C4AB8"/>
    <w:rsid w:val="002D2395"/>
    <w:rsid w:val="002E5FBC"/>
    <w:rsid w:val="002F2F5E"/>
    <w:rsid w:val="002F7FA1"/>
    <w:rsid w:val="0031282B"/>
    <w:rsid w:val="00336CFB"/>
    <w:rsid w:val="00373F44"/>
    <w:rsid w:val="003840DD"/>
    <w:rsid w:val="00396668"/>
    <w:rsid w:val="003C011C"/>
    <w:rsid w:val="003C617E"/>
    <w:rsid w:val="003F6ECB"/>
    <w:rsid w:val="004050B5"/>
    <w:rsid w:val="004052FA"/>
    <w:rsid w:val="004366E0"/>
    <w:rsid w:val="00443C3C"/>
    <w:rsid w:val="00447B46"/>
    <w:rsid w:val="00461B59"/>
    <w:rsid w:val="00490357"/>
    <w:rsid w:val="004A64A3"/>
    <w:rsid w:val="004A6A2A"/>
    <w:rsid w:val="004C3999"/>
    <w:rsid w:val="004D0245"/>
    <w:rsid w:val="00517CA3"/>
    <w:rsid w:val="00540504"/>
    <w:rsid w:val="00561434"/>
    <w:rsid w:val="005B4815"/>
    <w:rsid w:val="005B726E"/>
    <w:rsid w:val="005C4040"/>
    <w:rsid w:val="005E6E36"/>
    <w:rsid w:val="00605862"/>
    <w:rsid w:val="00651CCB"/>
    <w:rsid w:val="00662529"/>
    <w:rsid w:val="006660D2"/>
    <w:rsid w:val="006718D6"/>
    <w:rsid w:val="0069173E"/>
    <w:rsid w:val="006A1744"/>
    <w:rsid w:val="006A2669"/>
    <w:rsid w:val="006A5A7C"/>
    <w:rsid w:val="006F3981"/>
    <w:rsid w:val="00702992"/>
    <w:rsid w:val="00720002"/>
    <w:rsid w:val="00720616"/>
    <w:rsid w:val="00735ED2"/>
    <w:rsid w:val="007370D4"/>
    <w:rsid w:val="00740DE2"/>
    <w:rsid w:val="00756CA6"/>
    <w:rsid w:val="00762AC8"/>
    <w:rsid w:val="0076407F"/>
    <w:rsid w:val="00766CCB"/>
    <w:rsid w:val="0077535F"/>
    <w:rsid w:val="007818CA"/>
    <w:rsid w:val="00790156"/>
    <w:rsid w:val="007A0E6B"/>
    <w:rsid w:val="007A1674"/>
    <w:rsid w:val="007B465F"/>
    <w:rsid w:val="007B6444"/>
    <w:rsid w:val="007C7579"/>
    <w:rsid w:val="007D556F"/>
    <w:rsid w:val="00802A67"/>
    <w:rsid w:val="008154C2"/>
    <w:rsid w:val="008B350C"/>
    <w:rsid w:val="008B6C4C"/>
    <w:rsid w:val="008C4DBC"/>
    <w:rsid w:val="008D163B"/>
    <w:rsid w:val="008E3AAC"/>
    <w:rsid w:val="009265B1"/>
    <w:rsid w:val="009544EB"/>
    <w:rsid w:val="00956820"/>
    <w:rsid w:val="0095771B"/>
    <w:rsid w:val="00971EFC"/>
    <w:rsid w:val="009C39F5"/>
    <w:rsid w:val="009D454E"/>
    <w:rsid w:val="009D5B61"/>
    <w:rsid w:val="009E0193"/>
    <w:rsid w:val="009F7420"/>
    <w:rsid w:val="00A00696"/>
    <w:rsid w:val="00A0166A"/>
    <w:rsid w:val="00A164B7"/>
    <w:rsid w:val="00A2370A"/>
    <w:rsid w:val="00A2555D"/>
    <w:rsid w:val="00A620AD"/>
    <w:rsid w:val="00A953EF"/>
    <w:rsid w:val="00AA7BD8"/>
    <w:rsid w:val="00AC61DE"/>
    <w:rsid w:val="00AD25F1"/>
    <w:rsid w:val="00AE6C5E"/>
    <w:rsid w:val="00AE7F20"/>
    <w:rsid w:val="00B425E1"/>
    <w:rsid w:val="00B64F1A"/>
    <w:rsid w:val="00B67CEE"/>
    <w:rsid w:val="00B706C7"/>
    <w:rsid w:val="00B97C6F"/>
    <w:rsid w:val="00BC671D"/>
    <w:rsid w:val="00BF286B"/>
    <w:rsid w:val="00BF4E38"/>
    <w:rsid w:val="00C00BB8"/>
    <w:rsid w:val="00C51099"/>
    <w:rsid w:val="00C5368D"/>
    <w:rsid w:val="00C71481"/>
    <w:rsid w:val="00C817C0"/>
    <w:rsid w:val="00C84E56"/>
    <w:rsid w:val="00C85E34"/>
    <w:rsid w:val="00CC7251"/>
    <w:rsid w:val="00CD43C8"/>
    <w:rsid w:val="00CE295A"/>
    <w:rsid w:val="00CF4B00"/>
    <w:rsid w:val="00D00C91"/>
    <w:rsid w:val="00D07819"/>
    <w:rsid w:val="00D2386D"/>
    <w:rsid w:val="00D437D5"/>
    <w:rsid w:val="00D56246"/>
    <w:rsid w:val="00D774B9"/>
    <w:rsid w:val="00D8199E"/>
    <w:rsid w:val="00E00801"/>
    <w:rsid w:val="00E23401"/>
    <w:rsid w:val="00E54854"/>
    <w:rsid w:val="00E65317"/>
    <w:rsid w:val="00E80393"/>
    <w:rsid w:val="00EF13A0"/>
    <w:rsid w:val="00F00A4E"/>
    <w:rsid w:val="00F45C15"/>
    <w:rsid w:val="00F4676A"/>
    <w:rsid w:val="00F63058"/>
    <w:rsid w:val="00F86469"/>
    <w:rsid w:val="00F87198"/>
    <w:rsid w:val="00FA0DF4"/>
    <w:rsid w:val="00FB6013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2A140-5633-4984-AE64-69DD065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202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2370A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A237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A2370A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6">
    <w:name w:val="Balloon Text"/>
    <w:basedOn w:val="a"/>
    <w:link w:val="a7"/>
    <w:uiPriority w:val="99"/>
    <w:semiHidden/>
    <w:unhideWhenUsed/>
    <w:rsid w:val="00A2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37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2A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344FF"/>
    <w:pPr>
      <w:spacing w:after="140" w:line="288" w:lineRule="auto"/>
    </w:pPr>
  </w:style>
  <w:style w:type="character" w:styleId="a9">
    <w:name w:val="Hyperlink"/>
    <w:basedOn w:val="a0"/>
    <w:rsid w:val="00756CA6"/>
    <w:rPr>
      <w:color w:val="0000FF"/>
      <w:u w:val="single"/>
    </w:rPr>
  </w:style>
  <w:style w:type="paragraph" w:customStyle="1" w:styleId="Default">
    <w:name w:val="Default"/>
    <w:rsid w:val="00AE6C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D415B9D9B6771AD421D3874F35E1F56C716329B8D95822EDCC581016144i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russ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C485E95916171AD421D3874F35E1F56D5166A978C929D2ED4D0D75027111C8C7B00D152B74821CC41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8FB5E-E299-497A-8320-2D3870F0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Яковлева Наталья Валентиновна</cp:lastModifiedBy>
  <cp:revision>2</cp:revision>
  <cp:lastPrinted>2021-09-24T09:36:00Z</cp:lastPrinted>
  <dcterms:created xsi:type="dcterms:W3CDTF">2023-03-30T08:39:00Z</dcterms:created>
  <dcterms:modified xsi:type="dcterms:W3CDTF">2023-03-30T08:39:00Z</dcterms:modified>
</cp:coreProperties>
</file>