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рассмотрении обращений граждан за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полугодие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I полугодие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 в Администрацию Старорусского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района поступило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489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обращения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письменное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меньше,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 (з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полугодие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- 42  гражданина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полугодие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обращение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ответов,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8 обращениям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проведены контрольные мероприятия,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7 предостережений физическим лицам, составлено 5 протоколов об административном правонарушении.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обращений граждан в Администрацию Старорусского муниципального района </w:t>
      </w:r>
      <w:r>
        <w:rPr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полугодие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sz w:val="28"/>
          <w:szCs w:val="28"/>
        </w:rPr>
        <w:t xml:space="preserve"> в сравнении с аналогичным периодом 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4445" t="4445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I полугодие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воинские захоронения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65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61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ремонт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дорог и безопасность дорожного 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вопросы экономического развития и бизнеса - 40 (8%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земельные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имущественные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административные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правонарушения - 26 (5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образование и опека - 25 (5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работа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содержание и отлов животных - 12 (2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медицинские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уличное освещение - 3 (1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вопросы сельского хозяйства - 1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4445" t="4445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 переадресовано по компетенции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на 433 обращения направлены ответы. 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рассмотрении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находятся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56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85E5661"/>
    <w:rsid w:val="39B13B1D"/>
    <w:rsid w:val="39EA176D"/>
    <w:rsid w:val="3C0F1C18"/>
    <w:rsid w:val="3DB961C7"/>
    <w:rsid w:val="40532709"/>
    <w:rsid w:val="408E00BE"/>
    <w:rsid w:val="41A835F8"/>
    <w:rsid w:val="42BB5CD7"/>
    <w:rsid w:val="44E8259C"/>
    <w:rsid w:val="45277D8F"/>
    <w:rsid w:val="4629441C"/>
    <w:rsid w:val="46390716"/>
    <w:rsid w:val="474E09A7"/>
    <w:rsid w:val="48C1268C"/>
    <w:rsid w:val="4B9857C2"/>
    <w:rsid w:val="4D420873"/>
    <w:rsid w:val="51D33DFE"/>
    <w:rsid w:val="51DE3CE5"/>
    <w:rsid w:val="53DF4523"/>
    <w:rsid w:val="57904605"/>
    <w:rsid w:val="57B16900"/>
    <w:rsid w:val="57D7683B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1полугодие 2021</c:v>
                </c:pt>
                <c:pt idx="1">
                  <c:v>1полугодие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42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1полугодие 2021</c:v>
                </c:pt>
                <c:pt idx="1">
                  <c:v>1полугодие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517</c:v>
                </c:pt>
                <c:pt idx="1">
                  <c:v>450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1полугодие 2021</c:v>
                </c:pt>
                <c:pt idx="1">
                  <c:v>1полугодие 2022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61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22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56</c:v>
                </c:pt>
                <c:pt idx="1">
                  <c:v>120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65</c:v>
                </c:pt>
                <c:pt idx="1">
                  <c:v>80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33</c:v>
                </c:pt>
                <c:pt idx="1">
                  <c:v>25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26</c:v>
                </c:pt>
                <c:pt idx="1">
                  <c:v>11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70</c:v>
                </c:pt>
                <c:pt idx="1">
                  <c:v>94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12</c:v>
                </c:pt>
                <c:pt idx="1">
                  <c:v>3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8</c:v>
                </c:pt>
                <c:pt idx="1">
                  <c:v>14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13</c:v>
                </c:pt>
                <c:pt idx="1">
                  <c:v>8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41</c:v>
                </c:pt>
                <c:pt idx="1">
                  <c:v>57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Sheet1!$P$1</c:f>
              <c:strCache>
                <c:ptCount val="1"/>
                <c:pt idx="0">
                  <c:v>вопросы экономического развития и бизнеса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8"/>
          <c:order val="17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 2022</c:v>
                </c:pt>
                <c:pt idx="1">
                  <c:v>1 полугодие 2021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0.0653743039802021"/>
          <c:y val="0.805188367481824"/>
          <c:w val="0.876160032996494"/>
          <c:h val="0.19233311302048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 </a:t>
            </a:r>
            <a:r>
              <a:rPr lang="en-US" sz="1400"/>
              <a:t>I</a:t>
            </a:r>
            <a:r>
              <a:rPr altLang="en-US" sz="1400"/>
              <a:t> </a:t>
            </a:r>
            <a:r>
              <a:rPr sz="1400"/>
              <a:t>полугодии</a:t>
            </a:r>
            <a:r>
              <a:rPr sz="1400"/>
              <a:t> </a:t>
            </a:r>
            <a:r>
              <a:rPr lang="ru-RU" sz="1400"/>
              <a:t>2022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1109752369306"/>
          <c:y val="0.00297500991669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3282871031574"/>
                  <c:y val="0.03447062495639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85840834230741"/>
                  <c:y val="-0.04432280777805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92118406916517"/>
                  <c:y val="-0.078252440770735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19280674921469"/>
                  <c:y val="-0.1008704937315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15706377163404"/>
                  <c:y val="-0.02914339716360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9811805387614"/>
                  <c:y val="0.0100779352856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42698922647198"/>
                  <c:y val="0.003519007972290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1"/>
                      <c:h val="0.061186037286791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85011972498843"/>
                  <c:y val="-0.02218079827602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"/>
                      <c:h val="0.060095200317334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0567668014448052"/>
                  <c:y val="-0.009715383900338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8308366452665"/>
                      <c:h val="0.101348671162237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0231909985324139"/>
                  <c:y val="0.05462886290964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913791698043218"/>
                  <c:y val="0.0480661539049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19517573436578"/>
                  <c:y val="-0.0007883131556879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57220685597526"/>
                  <c:y val="-0.01900974412241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763608092917814"/>
                  <c:y val="-0.08969990852350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0782635279730967"/>
                  <c:y val="-0.07278857596191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183328238051564"/>
                  <c:y val="-0.01150337167790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медицинские и социальные вопросы</c:v>
                </c:pt>
                <c:pt idx="3">
                  <c:v>воинские захоронения и увековечение имен</c:v>
                </c:pt>
                <c:pt idx="4">
                  <c:v>содержание и отлов животных</c:v>
                </c:pt>
                <c:pt idx="5">
                  <c:v>административные правонарушения</c:v>
                </c:pt>
                <c:pt idx="6">
                  <c:v>земельные и имущественные вопросы</c:v>
                </c:pt>
                <c:pt idx="7">
                  <c:v>образование и опека</c:v>
                </c:pt>
                <c:pt idx="8">
                  <c:v>ремонт дорог и безопасность дорожного движения</c:v>
                </c:pt>
                <c:pt idx="9">
                  <c:v>жилищные вопросы</c:v>
                </c:pt>
                <c:pt idx="10">
                  <c:v>работа транспорта и связь</c:v>
                </c:pt>
                <c:pt idx="11">
                  <c:v>культура и спорт</c:v>
                </c:pt>
                <c:pt idx="12">
                  <c:v>уличное освещение</c:v>
                </c:pt>
                <c:pt idx="13">
                  <c:v>вопросы сельского хозяйства</c:v>
                </c:pt>
                <c:pt idx="14">
                  <c:v>Вопросы экономического развития и бизнеса</c:v>
                </c:pt>
                <c:pt idx="15">
                  <c:v>прочие 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65</c:v>
                </c:pt>
                <c:pt idx="1">
                  <c:v>61</c:v>
                </c:pt>
                <c:pt idx="2">
                  <c:v>8</c:v>
                </c:pt>
                <c:pt idx="3">
                  <c:v>70</c:v>
                </c:pt>
                <c:pt idx="4">
                  <c:v>12</c:v>
                </c:pt>
                <c:pt idx="5">
                  <c:v>26</c:v>
                </c:pt>
                <c:pt idx="6">
                  <c:v>33</c:v>
                </c:pt>
                <c:pt idx="7">
                  <c:v>25</c:v>
                </c:pt>
                <c:pt idx="8">
                  <c:v>56</c:v>
                </c:pt>
                <c:pt idx="9">
                  <c:v>22</c:v>
                </c:pt>
                <c:pt idx="10">
                  <c:v>13</c:v>
                </c:pt>
                <c:pt idx="11">
                  <c:v>13</c:v>
                </c:pt>
                <c:pt idx="12">
                  <c:v>3</c:v>
                </c:pt>
                <c:pt idx="13">
                  <c:v>1</c:v>
                </c:pt>
                <c:pt idx="14">
                  <c:v>40</c:v>
                </c:pt>
                <c:pt idx="1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55253235503923"/>
          <c:y val="0.780840936136454"/>
          <c:w val="0.865892183837766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2644</Characters>
  <Lines>22</Lines>
  <Paragraphs>6</Paragraphs>
  <TotalTime>17</TotalTime>
  <ScaleCrop>false</ScaleCrop>
  <LinksUpToDate>false</LinksUpToDate>
  <CharactersWithSpaces>3101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2020-04-08T08:44:00Z</dcterms:created>
  <dc:creator>Трипачева Лариса Евстигнеевна</dc:creator>
  <cp:lastModifiedBy>BEA</cp:lastModifiedBy>
  <cp:lastPrinted>2020-07-16T13:42:00Z</cp:lastPrinted>
  <dcterms:modified xsi:type="dcterms:W3CDTF">2022-07-18T12:00:24Z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065B7BCEB5CF4D02B54F0027CEDAAF6A</vt:lpwstr>
  </property>
</Properties>
</file>