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Информация о рассмотрении обращений граждан за I квартал 2020 года 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В первом квартале 2020 года в Администрацию Старорусского муниципального района поступило 28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обращение граждан, в том числе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257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письменных и 24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устных, это на 8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обращений больше, чем за аналогичный период прошлого года (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квартал 2019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201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).</w:t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В ходе проведения личных приемов граждан Главой муниципального района и заместителями Главы администрации принято 24 гражданина (за I квартал 2019 года – 18 граждан).</w:t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В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квартале 2020 года  отделом контроля Администрации муниципального района рассмотрено 16 обращений граждан, по результатам которых: дано 17 ответов, проведено 18 контрольных мероприятий, составлено 18 актов, 11 предписаний об устранении выявленных нарушений, 10 протоколов об административных правонарушениях, 4 предостережения о недопустимости нарушения обязательных требований.</w:t>
      </w: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направить обращение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>
      <w:pPr>
        <w:pStyle w:val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Тематика обращений граждан в Администрацию Старорусского муниципального района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2020 года в сравнении с аналогичным периодом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2019 года выглядит следующим образом:</w:t>
      </w:r>
    </w:p>
    <w:p>
      <w:pPr>
        <w:pStyle w:val="5"/>
        <w:ind w:firstLine="708"/>
        <w:rPr>
          <w:sz w:val="28"/>
          <w:szCs w:val="28"/>
        </w:rPr>
      </w:pPr>
    </w:p>
    <w:p>
      <w:r>
        <w:rPr>
          <w:sz w:val="28"/>
          <w:szCs w:val="28"/>
        </w:rPr>
        <w:drawing>
          <wp:inline distT="0" distB="0" distL="114300" distR="114300">
            <wp:extent cx="5993130" cy="5288280"/>
            <wp:effectExtent l="4445" t="4445" r="22225" b="222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ind w:firstLine="708"/>
        <w:rPr>
          <w:sz w:val="28"/>
          <w:szCs w:val="28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В I квартале 2020 года  наиболее актуальными являлись следующие вопросы: по воинским захоронениям -8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 от общего количества обращений),  коммунальное хозяйство –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(1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благоустройство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(13% от общего количества обращений), состояние дорог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(10% от общего количества обращений), жилищные вопросы – 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0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(7% от общего количества обращений), социальные вопросы – 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(6% от общего количества обращений), земельные вопросы – 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транспорт – 6 (2% от общего количества обращений), культура и спорт – 3 (1% от общего количества обращений), прочие -3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обращений).</w:t>
      </w:r>
    </w:p>
    <w:p>
      <w:pPr>
        <w:shd w:val="clear" w:color="auto" w:fill="FFFFFF"/>
        <w:spacing w:after="180" w:line="240" w:lineRule="auto"/>
        <w:rPr>
          <w:rFonts w:ascii="Arial" w:hAnsi="Arial" w:eastAsia="Times New Roman" w:cs="Arial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114300" distR="114300">
            <wp:extent cx="6231255" cy="6403975"/>
            <wp:effectExtent l="4445" t="4445" r="12700" b="114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По результатам рассмотрения обращений в 49 случаях вопросы решены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положительно, 35 обращений граждан переадресовано по компетенции, 37 обращений находятся на рассмотрении, а по остальным в адрес заявителей направлены ответы разъяснительного характера.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260C0"/>
    <w:rsid w:val="0005205E"/>
    <w:rsid w:val="00076D70"/>
    <w:rsid w:val="000C7F21"/>
    <w:rsid w:val="000D69A1"/>
    <w:rsid w:val="000F1A7C"/>
    <w:rsid w:val="00104793"/>
    <w:rsid w:val="001B7560"/>
    <w:rsid w:val="0024477E"/>
    <w:rsid w:val="00257116"/>
    <w:rsid w:val="002A787D"/>
    <w:rsid w:val="002D3A59"/>
    <w:rsid w:val="0030141F"/>
    <w:rsid w:val="003309CB"/>
    <w:rsid w:val="00350CD4"/>
    <w:rsid w:val="00361B2F"/>
    <w:rsid w:val="003A5508"/>
    <w:rsid w:val="004522BC"/>
    <w:rsid w:val="004A0167"/>
    <w:rsid w:val="004B4D74"/>
    <w:rsid w:val="004D673F"/>
    <w:rsid w:val="004E69E4"/>
    <w:rsid w:val="0050259D"/>
    <w:rsid w:val="0050678B"/>
    <w:rsid w:val="00562499"/>
    <w:rsid w:val="00662903"/>
    <w:rsid w:val="0069149A"/>
    <w:rsid w:val="00742352"/>
    <w:rsid w:val="00825277"/>
    <w:rsid w:val="008A158A"/>
    <w:rsid w:val="008A18F9"/>
    <w:rsid w:val="008C1147"/>
    <w:rsid w:val="009176FE"/>
    <w:rsid w:val="00934419"/>
    <w:rsid w:val="009638C8"/>
    <w:rsid w:val="009742E1"/>
    <w:rsid w:val="009A1633"/>
    <w:rsid w:val="009A3C71"/>
    <w:rsid w:val="009E453A"/>
    <w:rsid w:val="00A61EA3"/>
    <w:rsid w:val="00A93B4A"/>
    <w:rsid w:val="00AC303C"/>
    <w:rsid w:val="00B205FD"/>
    <w:rsid w:val="00B248AC"/>
    <w:rsid w:val="00B676E5"/>
    <w:rsid w:val="00B72C16"/>
    <w:rsid w:val="00B83712"/>
    <w:rsid w:val="00B86870"/>
    <w:rsid w:val="00BE1E28"/>
    <w:rsid w:val="00C2066F"/>
    <w:rsid w:val="00C35378"/>
    <w:rsid w:val="00C557F4"/>
    <w:rsid w:val="00C61D72"/>
    <w:rsid w:val="00D50C7A"/>
    <w:rsid w:val="00DD4198"/>
    <w:rsid w:val="00E67914"/>
    <w:rsid w:val="00E90F00"/>
    <w:rsid w:val="00ED0C2F"/>
    <w:rsid w:val="00EF33C0"/>
    <w:rsid w:val="00F72F5C"/>
    <w:rsid w:val="00FB2051"/>
    <w:rsid w:val="169271EB"/>
    <w:rsid w:val="171C78AA"/>
    <w:rsid w:val="2A73282B"/>
    <w:rsid w:val="2F0D46A1"/>
    <w:rsid w:val="2F4F3194"/>
    <w:rsid w:val="432172AF"/>
    <w:rsid w:val="515640BF"/>
    <w:rsid w:val="59480839"/>
    <w:rsid w:val="5B43058F"/>
    <w:rsid w:val="5E3B176F"/>
    <w:rsid w:val="789A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  <w:jc w:val="both"/>
    </w:pPr>
    <w:rPr>
      <w:rFonts w:ascii="Times New Roman" w:hAnsi="Times New Roman" w:eastAsia="Times New Roman" w:cs="Times New Roman"/>
      <w:sz w:val="26"/>
      <w:szCs w:val="20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Устныеобращения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2020 г</c:v>
                </c:pt>
                <c:pt idx="1">
                  <c:v>I квартал 2019 г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24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Письменныеобращения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2020 г</c:v>
                </c:pt>
                <c:pt idx="1">
                  <c:v>I квартал 2019 г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257</c:v>
                </c:pt>
                <c:pt idx="1">
                  <c:v>183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2020 г</c:v>
                </c:pt>
                <c:pt idx="1">
                  <c:v>I квартал 2019 г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7293056"/>
        <c:axId val="70928256"/>
      </c:barChart>
      <c:catAx>
        <c:axId val="5729305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928256"/>
        <c:crosses val="autoZero"/>
        <c:auto val="1"/>
        <c:lblAlgn val="ctr"/>
        <c:lblOffset val="100"/>
        <c:noMultiLvlLbl val="0"/>
      </c:catAx>
      <c:valAx>
        <c:axId val="70928256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29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20510387008331"/>
          <c:y val="0.019893899204244"/>
          <c:w val="0.920004218074449"/>
          <c:h val="0.66564102564102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45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20</c:v>
                </c:pt>
                <c:pt idx="1">
                  <c:v>31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27</c:v>
                </c:pt>
                <c:pt idx="1">
                  <c:v>33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37</c:v>
                </c:pt>
                <c:pt idx="1">
                  <c:v>38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14</c:v>
                </c:pt>
                <c:pt idx="1">
                  <c:v>18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0</c:v>
                </c:pt>
                <c:pt idx="1">
                  <c:v>11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80</c:v>
                </c:pt>
                <c:pt idx="1">
                  <c:v>0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6</c:v>
                </c:pt>
                <c:pt idx="1">
                  <c:v>11</c:v>
                </c:pt>
              </c:numCache>
            </c:numRef>
          </c:val>
        </c:ser>
        <c:ser>
          <c:idx val="10"/>
          <c:order val="10"/>
          <c:tx>
            <c:strRef>
              <c:f>Sheet1!$L$1</c:f>
              <c:strCache>
                <c:ptCount val="1"/>
                <c:pt idx="0">
                  <c:v>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17</c:v>
                </c:pt>
                <c:pt idx="1">
                  <c:v>10</c:v>
                </c:pt>
              </c:numCache>
            </c:numRef>
          </c:val>
        </c:ser>
        <c:ser>
          <c:idx val="12"/>
          <c:order val="12"/>
          <c:tx>
            <c:strRef>
              <c:f>Sheet1!$N$1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3</c:v>
                </c:pt>
                <c:pt idx="1">
                  <c:v>27</c:v>
                </c:pt>
              </c:numCache>
            </c:numRef>
          </c:val>
        </c:ser>
        <c:ser>
          <c:idx val="13"/>
          <c:order val="13"/>
          <c:tx>
            <c:strRef>
              <c:f>Sheet1!$O$1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32</c:v>
                </c:pt>
                <c:pt idx="1">
                  <c:v>0</c:v>
                </c:pt>
              </c:numCache>
            </c:numRef>
          </c:val>
        </c:ser>
        <c:ser>
          <c:idx val="14"/>
          <c:order val="14"/>
          <c:tx>
            <c:strRef>
              <c:f>Sheet1!$P$1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I квартал  2020 года</c:v>
                </c:pt>
                <c:pt idx="1">
                  <c:v>I квартал 2019 года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8665216"/>
        <c:axId val="78666752"/>
        <c:extLst>
          <c:ext xmlns:c15="http://schemas.microsoft.com/office/drawing/2012/chart" uri="{02D57815-91ED-43cb-92C2-25804820EDAC}">
            <c15:filteredBarSeries>
              <c15:ser>
                <c:idx val="7"/>
                <c:order val="7"/>
                <c:tx>
                  <c:strRef>
                    <c:extLst>
                      <c:ext uri="{02D57815-91ED-43cb-92C2-25804820EDAC}">
                        <c15:formulaRef>
                          <c15:sqref>Sheet1!$I$1</c15:sqref>
                        </c15:formulaRef>
                      </c:ext>
                    </c:extLst>
                    <c:strCache>
                      <c:ptCount val="1"/>
                      <c:pt idx="0">
                        <c:v>коронавирус</c:v>
                      </c:pt>
                    </c:strCache>
                  </c:strRef>
                </c:tx>
                <c:spPr>
                  <a:solidFill>
                    <a:schemeClr val="accent2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ru-RU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I квартал  2020 года</c:v>
                      </c:pt>
                      <c:pt idx="1">
                        <c:v>I квартал 2019 года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Sheet1!$I$2:$I$3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0</c:v>
                      </c:pt>
                    </c:numCache>
                  </c:numRef>
                </c:val>
              </c15:ser>
            </c15:filteredBarSeries>
            <c15:filteredBarSeries>
              <c15:ser>
                <c:idx val="9"/>
                <c:order val="9"/>
                <c:tx>
                  <c:strRef>
                    <c:extLst>
                      <c:ext uri="{02D57815-91ED-43cb-92C2-25804820EDAC}">
                        <c15:formulaRef>
                          <c15:sqref>Sheet1!$K$1</c15:sqref>
                        </c15:formulaRef>
                      </c:ext>
                    </c:extLst>
                    <c:strCache>
                      <c:ptCount val="1"/>
                      <c:pt idx="0">
                        <c:v>отлов собак</c:v>
                      </c:pt>
                    </c:strCache>
                  </c:strRef>
                </c:tx>
                <c:spPr>
                  <a:solidFill>
                    <a:schemeClr val="accent4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ru-RU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0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I квартал  2020 года</c:v>
                      </c:pt>
                      <c:pt idx="1">
                        <c:v>I квартал 2019 года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Sheet1!$K$2:$K$3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0</c:v>
                      </c:pt>
                    </c:numCache>
                  </c:numRef>
                </c:val>
              </c15:ser>
            </c15:filteredBarSeries>
            <c15:filteredBarSeries>
              <c15:ser>
                <c:idx val="11"/>
                <c:order val="11"/>
                <c:tx>
                  <c:strRef>
                    <c:extLst>
                      <c:ext uri="{02D57815-91ED-43cb-92C2-25804820EDAC}">
                        <c15:formulaRef>
                          <c15:sqref>Sheet1!$M$1</c15:sqref>
                        </c15:formulaRef>
                      </c:ext>
                    </c:extLst>
                    <c:strCache>
                      <c:ptCount val="1"/>
                      <c:pt idx="0">
                        <c:v>образование и опека</c:v>
                      </c:pt>
                    </c:strCache>
                  </c:strRef>
                </c:tx>
                <c:spPr>
                  <a:solidFill>
                    <a:schemeClr val="accent6">
                      <a:lumMod val="60000"/>
                    </a:schemeClr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0" vertOverflow="ellipsis" vert="horz" wrap="square" lIns="38100" tIns="19050" rIns="38100" bIns="19050" anchor="ctr" anchorCtr="1"/>
                    <a:lstStyle/>
                    <a:p>
                      <a:pPr>
                        <a:defRPr lang="ru-RU"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</a:p>
                  </c:txPr>
                  <c:dLblPos val="ctr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xmlns:c15="http://schemas.microsoft.com/office/drawing/2012/chart" uri="{CE6537A1-D6FC-4f65-9D91-7224C49458BB}">
                      <c15:layout/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/>
                        </c15:fullRef>
                        <c15:formulaRef>
                          <c15:sqref>Sheet1!$A$2:$A$3</c15:sqref>
                        </c15:formulaRef>
                      </c:ext>
                    </c:extLst>
                    <c:strCache>
                      <c:ptCount val="2"/>
                      <c:pt idx="0">
                        <c:v>I квартал  2020 года</c:v>
                      </c:pt>
                      <c:pt idx="1">
                        <c:v>I квартал 2019 года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Sheet1!$M$2:$M$3</c15:sqref>
                        </c15:formulaRef>
                      </c:ext>
                    </c:extLst>
                    <c:numCache>
                      <c:formatCode>General</c:formatCode>
                      <c:ptCount val="2"/>
                      <c:pt idx="0">
                        <c:v>0</c:v>
                      </c:pt>
                      <c:pt idx="1">
                        <c:v>0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786652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6752"/>
        <c:crosses val="autoZero"/>
        <c:auto val="1"/>
        <c:lblAlgn val="ctr"/>
        <c:lblOffset val="100"/>
        <c:noMultiLvlLbl val="0"/>
      </c:catAx>
      <c:valAx>
        <c:axId val="7866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866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219326128417038"/>
          <c:y val="0.786383285302594"/>
          <c:w val="0.896058486967578"/>
          <c:h val="0.20028818443804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0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в </a:t>
            </a:r>
            <a:r>
              <a:rPr lang="en-US" sz="1400"/>
              <a:t>I </a:t>
            </a:r>
            <a:r>
              <a:rPr lang="ru-RU" sz="1400"/>
              <a:t>квартале 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2020 года</a:t>
            </a:r>
            <a:endParaRPr lang="ru-RU" sz="1400"/>
          </a:p>
        </c:rich>
      </c:tx>
      <c:layout>
        <c:manualLayout>
          <c:xMode val="edge"/>
          <c:yMode val="edge"/>
          <c:x val="0.129063487210843"/>
          <c:y val="0.012244897959183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0527614525963883"/>
                  <c:y val="-0.033260434147133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76181592039801"/>
                  <c:y val="0.001591511936339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310945273631841"/>
                  <c:y val="-0.0031830238726790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98216214099177"/>
                  <c:y val="0.0065273642613544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47837223999234"/>
                  <c:y val="0.023811779353651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0.0577383831378114"/>
                  <c:y val="0.014242949169057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-0.101484704268325"/>
                  <c:y val="-0.0059018567639256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-0.0545328235009605"/>
                  <c:y val="-0.019800790342662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-0.0606759651756503"/>
                  <c:y val="-0.047200508850755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0.00777363184079602"/>
                  <c:y val="-0.03660477453580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0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extLst>
                <c:ext xmlns:c15="http://schemas.microsoft.com/office/drawing/2012/chart" uri="{02D57815-91ED-43cb-92C2-25804820EDAC}">
                  <c15:fullRef>
                    <c15:sqref>Sheet1!$A$2:$A$15</c15:sqref>
                  </c15:fullRef>
                </c:ext>
              </c:extLst>
              <c:f>(Sheet1!$A$2:$A$5,Sheet1!$A$9,Sheet1!$A$11:$A$15)</c:f>
              <c:strCache>
                <c:ptCount val="10"/>
                <c:pt idx="0">
                  <c:v>благоустройство</c:v>
                </c:pt>
                <c:pt idx="1">
                  <c:v>вопросы коммунального хозяйства</c:v>
                </c:pt>
                <c:pt idx="2">
                  <c:v>социальные вопросы</c:v>
                </c:pt>
                <c:pt idx="3">
                  <c:v>воинские захоронения</c:v>
                </c:pt>
                <c:pt idx="4">
                  <c:v>земельные вопросы</c:v>
                </c:pt>
                <c:pt idx="5">
                  <c:v>ремонт дорог и безопасность дорожного движения</c:v>
                </c:pt>
                <c:pt idx="6">
                  <c:v>жилищные вопросы</c:v>
                </c:pt>
                <c:pt idx="7">
                  <c:v>работа транспорта</c:v>
                </c:pt>
                <c:pt idx="8">
                  <c:v>культура и спорт</c:v>
                </c:pt>
                <c:pt idx="9">
                  <c:v>прочие 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Sheet1!$B$2:$B$15</c15:sqref>
                  </c15:fullRef>
                </c:ext>
              </c:extLst>
              <c:f>(Sheet1!$B$2:$B$5,Sheet1!$B$9,Sheet1!$B$11:$B$15)</c:f>
              <c:numCache>
                <c:formatCode>General</c:formatCode>
                <c:ptCount val="10"/>
                <c:pt idx="0">
                  <c:v>37</c:v>
                </c:pt>
                <c:pt idx="1">
                  <c:v>45</c:v>
                </c:pt>
                <c:pt idx="2">
                  <c:v>17</c:v>
                </c:pt>
                <c:pt idx="3">
                  <c:v>80</c:v>
                </c:pt>
                <c:pt idx="4">
                  <c:v>14</c:v>
                </c:pt>
                <c:pt idx="5">
                  <c:v>27</c:v>
                </c:pt>
                <c:pt idx="6">
                  <c:v>20</c:v>
                </c:pt>
                <c:pt idx="7">
                  <c:v>6</c:v>
                </c:pt>
                <c:pt idx="8">
                  <c:v>3</c:v>
                </c:pt>
                <c:pt idx="9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166106185672067"/>
          <c:y val="0.853941497273178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415</Words>
  <Characters>2366</Characters>
  <Lines>19</Lines>
  <Paragraphs>5</Paragraphs>
  <TotalTime>41</TotalTime>
  <ScaleCrop>false</ScaleCrop>
  <LinksUpToDate>false</LinksUpToDate>
  <CharactersWithSpaces>2776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2021-01-18T08:48:00Z</dcterms:created>
  <dc:creator>Трипачева Лариса Евстигнеевна</dc:creator>
  <cp:lastModifiedBy>BEA</cp:lastModifiedBy>
  <dcterms:modified xsi:type="dcterms:W3CDTF">2021-04-14T11:47:34Z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1049-11.2.0.10101</vt:lpwstr>
  </property>
</Properties>
</file>