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на право заключения договор</w:t>
      </w:r>
      <w:r>
        <w:rPr>
          <w:rFonts w:ascii="Times New Roman" w:hAnsi="Times New Roman" w:cs="Times New Roman"/>
          <w:lang w:val="ru-RU"/>
        </w:rPr>
        <w:t>ов</w:t>
      </w:r>
      <w:r>
        <w:rPr>
          <w:rFonts w:hint="default" w:ascii="Times New Roman" w:hAnsi="Times New Roman" w:cs="Times New Roman"/>
          <w:lang w:val="ru-RU"/>
        </w:rPr>
        <w:t xml:space="preserve"> купли-продажи</w:t>
      </w:r>
      <w:r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  <w:lang w:val="ru-RU"/>
        </w:rPr>
        <w:t>ых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Организатор аукциона: Комитет по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строительству, имущественным отношениям и земельным ресурсам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администрации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области. </w:t>
      </w:r>
      <w:r>
        <w:rPr>
          <w:rFonts w:hint="default" w:ascii="Times New Roman" w:hAnsi="Times New Roman" w:cs="Times New Roman"/>
          <w:sz w:val="22"/>
          <w:szCs w:val="22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2"/>
          <w:szCs w:val="22"/>
        </w:rPr>
        <w:t>Российская Федерация, 17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5200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Новгородская область, г.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Старая Русса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наб. Советская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д. 1, каб.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14</w:t>
      </w:r>
      <w:r>
        <w:rPr>
          <w:rFonts w:hint="default" w:ascii="Times New Roman" w:hAnsi="Times New Roman" w:cs="Times New Roman"/>
          <w:bCs/>
          <w:sz w:val="22"/>
          <w:szCs w:val="22"/>
        </w:rPr>
        <w:t>, т/ф 8 (816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5-26-70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bCs/>
          <w:sz w:val="22"/>
          <w:szCs w:val="22"/>
        </w:rPr>
        <w:t>-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kumi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_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mzr</w:t>
      </w:r>
      <w:r>
        <w:rPr>
          <w:rFonts w:hint="default" w:ascii="Times New Roman" w:hAnsi="Times New Roman" w:cs="Times New Roman"/>
          <w:bCs/>
          <w:sz w:val="22"/>
          <w:szCs w:val="22"/>
        </w:rPr>
        <w:t>@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Основание для проведения аукциона: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Постановление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администрации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10.05.2023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987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http://torgi.gov.ru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 xml:space="preserve">.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Аукцион </w:t>
      </w:r>
      <w:r>
        <w:rPr>
          <w:rFonts w:hint="default" w:ascii="Times New Roman" w:hAnsi="Times New Roman" w:cs="Times New Roman"/>
          <w:sz w:val="22"/>
          <w:szCs w:val="22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2"/>
          <w:szCs w:val="22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, размещенная на сайте </w:t>
      </w:r>
      <w:r>
        <w:rPr>
          <w:rFonts w:hint="default" w:ascii="Times New Roman" w:hAnsi="Times New Roman" w:cs="Times New Roman"/>
          <w:sz w:val="22"/>
          <w:szCs w:val="22"/>
        </w:rPr>
        <w:t>https://www.rts-tender.ru/poisk/etps/rts-tender/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2"/>
          <w:szCs w:val="22"/>
          <w:shd w:val="clear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1.5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pacing w:val="5"/>
          <w:sz w:val="22"/>
          <w:szCs w:val="22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Предмет аукциона: право на заключение договоров </w:t>
      </w:r>
      <w:r>
        <w:rPr>
          <w:rFonts w:ascii="Times New Roman" w:hAnsi="Times New Roman" w:cs="Times New Roman"/>
          <w:sz w:val="22"/>
          <w:szCs w:val="22"/>
          <w:lang w:val="ru-RU"/>
        </w:rPr>
        <w:t>купли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-продажи</w:t>
      </w:r>
      <w:r>
        <w:rPr>
          <w:rFonts w:ascii="Times New Roman" w:hAnsi="Times New Roman" w:cs="Times New Roman"/>
          <w:sz w:val="22"/>
          <w:szCs w:val="22"/>
        </w:rPr>
        <w:t xml:space="preserve"> земельн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>
        <w:rPr>
          <w:rFonts w:ascii="Times New Roman" w:hAnsi="Times New Roman" w:cs="Times New Roman"/>
          <w:sz w:val="22"/>
          <w:szCs w:val="22"/>
        </w:rPr>
        <w:t xml:space="preserve"> участк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ЛОТ 1: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Ивановское сельское поселение, д. Скрипково, ул. Полевая, земельный участок 7а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:0221201:396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Для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ведения личного подсобного хозяйства.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828" w:firstLineChars="345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Технические условия подключения (технологического присоединения) к сети газораспределения от 07.12.2022 № 1661: Максимальный расход газа: 7 куб.м/час. Сроки подключения (технологического присоединения): в соответствии с п. 53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РФ от 13 сентября 2021 года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 утвержденными Постановлением правительства Российской Федерации от 13 сентября 2021 года № 1547.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709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соответствии со сведениями, предоставленными ООО «ТК Новгородская»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.12.2022 № 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-РСР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подключение объектов капитального строительства на земельном участке к инженерным сетям теплоснабжения принадлежащим ООО «ТК Новгородская» не предусмотрено «Схемой теплоснабжения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Ивановского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отсутствует источник теплоснабжения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709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Технические условия на подключение к централизованным сетям водоснабжения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05.12.2022 № 57пр/22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Информация о точке (точках) присоединения от водовода Д 300 мм, чугун, проложенного по территории в д. Скрипково, точку подключения уточнить проектом. Предельная свободная мощность существующих сетей - информация отсутствует. Максимальная нагрузка - информация отсутствует.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Срок действия настоящих технических условий - 3 года. Срок, в течение которого правообладатель земельного участка может обратиться к Исполнителю в целях заключения Договора о подключении в возможных точках присоединения, указанной в настоящих технических условиях- 3 года. Плата а подключение (технологическое присоединение) - расчитывается Исполнителем исходя из установленных тарифов на подключение (технологическое присоединение). Тарифы за подключение установлены Постановлением Комитета по ценовой политике от 08.06.2022 г. № 27. Технические условия на подключение к централизованной системе водоотведения от 05.12.2022 г. № 24пр/22 -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отвода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01.02.2023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11077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116000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сто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шестнадцать тысяч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3480,00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три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тысячи четыреста восемьдесят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23200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двадцать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три тысячи двести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Наговское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сельское поселение, д. Устрека, ул. Якутская, земельный участок 6а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53:17:0040702:284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Для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ведения личного подсобного хозяйства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Правил землепользования и застройки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eastAsia="ru-RU" w:bidi="ar-SA"/>
              </w:rPr>
              <w:t>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 Старорусского муниципального района Новгородской области, утвержденными решением Совета депутатов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eastAsia="ru-RU" w:bidi="ar-SA"/>
              </w:rPr>
              <w:t>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 от </w:t>
            </w:r>
            <w:r>
              <w:rPr>
                <w:rFonts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 xml:space="preserve">23.11.2012 </w:t>
            </w:r>
            <w:r>
              <w:rPr>
                <w:rFonts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№ 1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53:17:0040702, Наговское сельское поселение (д. Устрека).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   д. Устрека Наговского сельского поселения не газифицирована.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   Подключение к сетям теплоснабжения, принадлежащим ООО «ТК Новгородская» не предусмотрето «Схемой теплоснабжения города Наговского сельского поселения», отсутствует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31.03.2023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117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105000,00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сто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пять тысяч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shd w:val="clear" w:color="auto" w:fill="FFFFFF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3150,00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три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тысячи сто пятьдесят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21000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двадцать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одна тысяча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 3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Российская Федерация, Новгородская область, Старорусский муниципальный район, Ивановское сельское поселение, д. Лучки (Ивановское с.п.), земельный участок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53:17:0211301:149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Для ведения личного подсобного хозяйства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>Правилам землепользования и застройки Ивановского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>сельского поселения Старорусского муниципального района Новгородской области, утвержденными решением Совета депутатов Ивановского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 от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Земли</w:t>
            </w:r>
            <w:r>
              <w:rPr>
                <w:rFonts w:hint="default"/>
                <w:color w:val="000000"/>
                <w:sz w:val="22"/>
                <w:szCs w:val="22"/>
                <w:lang w:val="ru-RU" w:eastAsia="en-US"/>
              </w:rPr>
              <w:t xml:space="preserve">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53:17:0211301, Ивановское сельское поселение, д. Лучки.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д. Лучки Ивановского сельского поселения не газифицирована.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Подключение к сетям теплоснабжения, принадлежащим ООО «ТК Новгородская» не предусмотрето «Схемой теплоснабжения Ивановского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28.03.2023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95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105000 руб. 00 коп.(сто пять тысяч)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3150 руб.00 коп. (три тысячи сто пятьдесят)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21000 руб. 00 коп. (двадцать одна тысяча)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 год 6 месяцев.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3.1. 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19.05.2023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с 08 час. 00 мин.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13.06.2023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3.3.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16.06.2023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19.06.2023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14:15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 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 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13.06.2023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Внесение гарантийного обеспечения по Соглашению о внесении гарантийного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обеспечения, № аналитического счета _________, без НДС.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Получатель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ООО «РТС-тендер»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Наименование банка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Филиал «Корпоративный» ПАО «Совкомбанк»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Расчетный счёт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40702810512030016362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 xml:space="preserve">Корр.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 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 xml:space="preserve">19.06.2023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года 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>14:15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пос</w:t>
      </w:r>
      <w:r>
        <w:rPr>
          <w:rFonts w:ascii="Times New Roman" w:hAnsi="Times New Roman" w:eastAsia="Calibri" w:cs="Times New Roman"/>
          <w:sz w:val="24"/>
          <w:szCs w:val="24"/>
        </w:rPr>
        <w:t>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 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 xml:space="preserve">6.4. 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6.5. 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 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комитет по </w:t>
      </w:r>
      <w:r>
        <w:rPr>
          <w:color w:val="000000"/>
          <w:lang w:val="ru-RU"/>
        </w:rPr>
        <w:t>строительству</w:t>
      </w:r>
      <w:r>
        <w:rPr>
          <w:rFonts w:hint="default"/>
          <w:color w:val="000000"/>
          <w:lang w:val="ru-RU"/>
        </w:rPr>
        <w:t>, имущественным отношениям и земельным ресурсам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Старорусского</w:t>
      </w:r>
      <w:r>
        <w:rPr>
          <w:color w:val="000000"/>
        </w:rPr>
        <w:t xml:space="preserve">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hint="default" w:ascii="Times New Roman" w:hAnsi="Times New Roman" w:cs="Times New Roman"/>
          <w:color w:val="000000"/>
        </w:rPr>
        <w:t xml:space="preserve">по </w:t>
      </w:r>
      <w:r>
        <w:rPr>
          <w:rFonts w:hint="default" w:ascii="Times New Roman" w:hAnsi="Times New Roman" w:cs="Times New Roman"/>
          <w:color w:val="000000"/>
          <w:lang w:val="ru-RU"/>
        </w:rPr>
        <w:t>строительству, имущественным отношениям и земельным ресурсам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val="ru-RU"/>
        </w:rPr>
        <w:t>Старорусского</w:t>
      </w:r>
      <w:r>
        <w:rPr>
          <w:rFonts w:hint="default" w:ascii="Times New Roman" w:hAnsi="Times New Roman" w:cs="Times New Roman"/>
          <w:color w:val="000000"/>
        </w:rPr>
        <w:t xml:space="preserve"> муниципального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 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права на заключение 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>купли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-продажи (</w:t>
      </w:r>
      <w:r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textAlignment w:val="auto"/>
        <w:rPr>
          <w:rFonts w:hint="default" w:ascii="Times New Roman" w:hAnsi="Times New Roman" w:cs="Times New Roman"/>
          <w:bCs/>
          <w:i w:val="0"/>
          <w:sz w:val="24"/>
          <w:szCs w:val="24"/>
        </w:rPr>
      </w:pPr>
      <w:r>
        <w:rPr>
          <w:rFonts w:hint="default" w:ascii="Times New Roman" w:hAnsi="Times New Roman" w:cs="Times New Roman"/>
          <w:bCs/>
          <w:i w:val="0"/>
          <w:sz w:val="24"/>
          <w:szCs w:val="24"/>
        </w:rPr>
        <w:t>Договор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textAlignment w:val="auto"/>
        <w:rPr>
          <w:rFonts w:hint="default" w:ascii="Times New Roman" w:hAnsi="Times New Roman" w:cs="Times New Roman"/>
          <w:bCs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i w:val="0"/>
          <w:sz w:val="24"/>
          <w:szCs w:val="24"/>
        </w:rPr>
        <w:t xml:space="preserve"> купли-продажи </w:t>
      </w:r>
      <w:r>
        <w:rPr>
          <w:rFonts w:hint="default" w:ascii="Times New Roman" w:hAnsi="Times New Roman" w:cs="Times New Roman"/>
          <w:bCs/>
          <w:i w:val="0"/>
          <w:sz w:val="24"/>
          <w:szCs w:val="24"/>
          <w:lang w:val="ru-RU"/>
        </w:rPr>
        <w:t xml:space="preserve">земельного участка № </w:t>
      </w:r>
    </w:p>
    <w:p>
      <w:pPr>
        <w:pStyle w:val="10"/>
        <w:rPr>
          <w:sz w:val="24"/>
          <w:szCs w:val="24"/>
        </w:rPr>
      </w:pPr>
    </w:p>
    <w:p>
      <w:pPr>
        <w:pStyle w:val="1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город Старая Русса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>"</w:t>
      </w:r>
      <w:r>
        <w:rPr>
          <w:rFonts w:hint="default"/>
          <w:sz w:val="24"/>
          <w:szCs w:val="24"/>
          <w:lang w:val="ru-RU"/>
        </w:rPr>
        <w:t xml:space="preserve"> -- </w:t>
      </w:r>
      <w:r>
        <w:rPr>
          <w:sz w:val="24"/>
          <w:szCs w:val="24"/>
          <w:lang w:val="ru-RU"/>
        </w:rPr>
        <w:t xml:space="preserve">" </w:t>
      </w:r>
      <w:r>
        <w:rPr>
          <w:rFonts w:hint="default"/>
          <w:sz w:val="24"/>
          <w:szCs w:val="24"/>
          <w:lang w:val="ru-RU"/>
        </w:rPr>
        <w:t xml:space="preserve">------- </w:t>
      </w:r>
      <w:r>
        <w:rPr>
          <w:sz w:val="24"/>
          <w:szCs w:val="24"/>
          <w:lang w:val="ru-RU"/>
        </w:rPr>
        <w:t>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</w:t>
      </w:r>
    </w:p>
    <w:p>
      <w:pPr>
        <w:pStyle w:val="29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Администрация Старорусского муниципального района, именуемая в дальнейшем «Арендодатель», в лице </w:t>
      </w:r>
      <w:r>
        <w:rPr>
          <w:rFonts w:hint="default"/>
          <w:sz w:val="21"/>
          <w:szCs w:val="21"/>
          <w:lang w:val="ru-RU"/>
        </w:rPr>
        <w:t>______________________________________________________</w:t>
      </w:r>
      <w:r>
        <w:rPr>
          <w:sz w:val="21"/>
          <w:szCs w:val="21"/>
        </w:rPr>
        <w:t xml:space="preserve">, действующего на основании </w:t>
      </w:r>
      <w:r>
        <w:rPr>
          <w:rFonts w:hint="default"/>
          <w:sz w:val="21"/>
          <w:szCs w:val="21"/>
          <w:lang w:val="ru-RU"/>
        </w:rPr>
        <w:t>_______________________________________________</w:t>
      </w:r>
      <w:r>
        <w:rPr>
          <w:color w:val="000000"/>
          <w:sz w:val="21"/>
          <w:szCs w:val="21"/>
        </w:rPr>
        <w:t>, с одной стороны и</w:t>
      </w:r>
      <w:r>
        <w:rPr>
          <w:rFonts w:cs="Mangal"/>
          <w:color w:val="000000"/>
          <w:kern w:val="1"/>
          <w:sz w:val="21"/>
          <w:szCs w:val="21"/>
        </w:rPr>
        <w:t xml:space="preserve"> </w:t>
      </w:r>
      <w:r>
        <w:rPr>
          <w:rFonts w:hint="default"/>
          <w:b/>
          <w:color w:val="000000"/>
          <w:sz w:val="21"/>
          <w:szCs w:val="21"/>
          <w:lang w:val="ru-RU"/>
        </w:rPr>
        <w:t>_____________________________________________________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именуем</w:t>
      </w:r>
      <w:r>
        <w:rPr>
          <w:color w:val="000000"/>
          <w:sz w:val="21"/>
          <w:szCs w:val="21"/>
          <w:lang w:val="ru-RU"/>
        </w:rPr>
        <w:t>ая</w:t>
      </w:r>
      <w:r>
        <w:rPr>
          <w:color w:val="000000"/>
          <w:sz w:val="21"/>
          <w:szCs w:val="21"/>
        </w:rPr>
        <w:t xml:space="preserve"> в дальнейшем «Арендатор», с другой стороны, заключили настоящий договор о нижеследующем: </w:t>
      </w:r>
    </w:p>
    <w:p>
      <w:pPr>
        <w:keepLines w:val="0"/>
        <w:pageBreakBefore w:val="0"/>
        <w:tabs>
          <w:tab w:val="left" w:pos="0"/>
        </w:tabs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Lines w:val="0"/>
        <w:pageBreakBefore w:val="0"/>
        <w:tabs>
          <w:tab w:val="left" w:pos="0"/>
        </w:tabs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Администрация Старорусского муниципального района, именуемая  в дальнейшем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ПРОДАВЕЦ,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в лице </w:t>
      </w:r>
      <w:r>
        <w:rPr>
          <w:rFonts w:hint="default" w:cs="Times New Roman"/>
          <w:iCs/>
          <w:sz w:val="24"/>
          <w:szCs w:val="24"/>
          <w:lang w:val="ru-RU"/>
        </w:rPr>
        <w:t>_________________________________________________</w:t>
      </w:r>
      <w:r>
        <w:rPr>
          <w:color w:val="auto"/>
          <w:sz w:val="24"/>
          <w:szCs w:val="24"/>
        </w:rPr>
        <w:t xml:space="preserve"> действующе</w:t>
      </w:r>
      <w:r>
        <w:rPr>
          <w:color w:val="auto"/>
          <w:sz w:val="24"/>
          <w:szCs w:val="24"/>
          <w:lang w:val="ru-RU"/>
        </w:rPr>
        <w:t>го</w:t>
      </w:r>
      <w:r>
        <w:rPr>
          <w:color w:val="auto"/>
          <w:sz w:val="24"/>
          <w:szCs w:val="24"/>
        </w:rPr>
        <w:t xml:space="preserve"> на основании </w:t>
      </w:r>
      <w:r>
        <w:rPr>
          <w:rFonts w:hint="default" w:ascii="Times New Roman" w:hAnsi="Times New Roman" w:cs="Times New Roman"/>
          <w:iCs/>
          <w:sz w:val="24"/>
          <w:szCs w:val="24"/>
        </w:rPr>
        <w:t>,</w:t>
      </w:r>
      <w:r>
        <w:rPr>
          <w:rFonts w:hint="default" w:cs="Times New Roman"/>
          <w:iCs/>
          <w:sz w:val="24"/>
          <w:szCs w:val="24"/>
          <w:lang w:val="en-US"/>
        </w:rPr>
        <w:t xml:space="preserve"> </w:t>
      </w:r>
      <w:r>
        <w:rPr>
          <w:rFonts w:hint="default" w:cs="Times New Roman"/>
          <w:iCs/>
          <w:sz w:val="24"/>
          <w:szCs w:val="24"/>
          <w:lang w:val="ru-RU"/>
        </w:rPr>
        <w:t xml:space="preserve">и </w:t>
      </w:r>
      <w:r>
        <w:rPr>
          <w:rFonts w:hint="default" w:cs="Times New Roman"/>
          <w:b/>
          <w:sz w:val="24"/>
          <w:szCs w:val="24"/>
          <w:lang w:val="ru-RU" w:eastAsia="zh-CN"/>
        </w:rPr>
        <w:t>____________________________________________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именуем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дальнейшем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ПОКУПАТЕЛЬ,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рассмотрения заявок на участие в аукционе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года, </w:t>
      </w:r>
      <w:r>
        <w:rPr>
          <w:rFonts w:hint="default"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1.1.ПРОДАВЕЦ обязуется передать в собственность ПОКУПАТЕЛЯ, а ПОКУПАТЕЛЬ обязуется оплатить и принять в соответствии с условиями настоящего договора и действующим законодательством Российской Федерации: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земельный участок, разрешенное использование: </w:t>
      </w:r>
      <w:r>
        <w:rPr>
          <w:rFonts w:hint="default" w:cs="Times New Roman"/>
          <w:sz w:val="24"/>
          <w:szCs w:val="24"/>
          <w:lang w:val="ru-RU"/>
        </w:rPr>
        <w:t>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площадь: </w:t>
      </w:r>
      <w:r>
        <w:rPr>
          <w:rFonts w:hint="default" w:cs="Times New Roman"/>
          <w:sz w:val="24"/>
          <w:szCs w:val="24"/>
          <w:lang w:val="ru-RU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кв.м.; расположен по адресу: </w:t>
      </w:r>
      <w:r>
        <w:rPr>
          <w:rFonts w:hint="default" w:cs="Times New Roman"/>
          <w:sz w:val="24"/>
          <w:szCs w:val="24"/>
          <w:lang w:val="ru-RU"/>
        </w:rPr>
        <w:t>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кадастровый номер: </w:t>
      </w:r>
      <w:r>
        <w:rPr>
          <w:rFonts w:hint="default" w:cs="Times New Roman"/>
          <w:sz w:val="24"/>
          <w:szCs w:val="24"/>
          <w:lang w:val="ru-RU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категория земель: </w:t>
      </w:r>
      <w:r>
        <w:rPr>
          <w:rFonts w:hint="default" w:cs="Times New Roman"/>
          <w:sz w:val="24"/>
          <w:szCs w:val="24"/>
          <w:lang w:val="ru-RU"/>
        </w:rPr>
        <w:t>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(Далее по тексту договора - ЗЕМЕЛЬНЫЙ УЧАСТОК).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1.2. ПРОДАВЕЦ гарантирует, что передаваемый ЗЕМЕЛЬНЫЙ УЧАСТОК нигде не заложен, на него не наложен арест, и ЗЕМЕЛЬНЫЙ УЧАСТОК не является предметом исков третьих лиц.</w:t>
      </w:r>
    </w:p>
    <w:p>
      <w:pPr>
        <w:pStyle w:val="30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i w:val="0"/>
          <w:sz w:val="24"/>
          <w:szCs w:val="24"/>
          <w:shd w:val="clear" w:color="auto" w:fill="FF000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i w:val="0"/>
          <w:sz w:val="24"/>
          <w:szCs w:val="24"/>
        </w:rPr>
        <w:t>. ЦЕНА  ДОГОВОРА</w:t>
      </w:r>
    </w:p>
    <w:p>
      <w:pPr>
        <w:pStyle w:val="11"/>
        <w:keepLines w:val="0"/>
        <w:pageBreakBefore w:val="0"/>
        <w:tabs>
          <w:tab w:val="left" w:pos="709"/>
          <w:tab w:val="left" w:pos="851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2.1.</w:t>
      </w:r>
      <w:r>
        <w:rPr>
          <w:rFonts w:hint="default" w:ascii="Times New Roman" w:hAnsi="Times New Roman" w:cs="Times New Roman"/>
          <w:i w:val="0"/>
          <w:sz w:val="24"/>
          <w:szCs w:val="24"/>
        </w:rPr>
        <w:t>Оплата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за ЗЕМЕЛЬНЫЙ УЧАСТОК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производится в порядке, размере и сроки, определенные настоящим договором.</w:t>
      </w:r>
    </w:p>
    <w:p>
      <w:pPr>
        <w:pStyle w:val="30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2.2.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Стоимость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составляет </w:t>
      </w:r>
      <w:r>
        <w:rPr>
          <w:rFonts w:hint="default" w:cs="Times New Roman"/>
          <w:i w:val="0"/>
          <w:sz w:val="24"/>
          <w:szCs w:val="24"/>
          <w:lang w:val="ru-RU"/>
        </w:rPr>
        <w:t>__________________________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</w:rPr>
        <w:t xml:space="preserve"> </w:t>
      </w:r>
    </w:p>
    <w:p>
      <w:pPr>
        <w:pStyle w:val="30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eastAsia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.Оплата цены продажи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осуществляется ПОКУПАТЕЛЕМ в следующем порядке: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eastAsia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.1. Задаток в сумме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i w:val="0"/>
          <w:sz w:val="24"/>
          <w:szCs w:val="24"/>
          <w:lang w:val="ru-RU"/>
        </w:rPr>
        <w:t>________________________________________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, внесенный ПОКУПАТЕЛЕМ до начала проведения аукциона по продаже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, засчитывается в оплату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его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стоимости. </w:t>
      </w:r>
    </w:p>
    <w:p>
      <w:pPr>
        <w:keepLines w:val="0"/>
        <w:pageBreakBefore w:val="0"/>
        <w:kinsoku/>
        <w:wordWrap/>
        <w:topLinePunct w:val="0"/>
        <w:autoSpaceDE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2.3.2.Денежные средства в размере </w:t>
      </w:r>
      <w:r>
        <w:rPr>
          <w:rFonts w:hint="default" w:cs="Times New Roman"/>
          <w:sz w:val="24"/>
          <w:szCs w:val="24"/>
          <w:lang w:val="ru-RU"/>
        </w:rPr>
        <w:t>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путем единовременного перечисления переводятся на счет, указанный в пункте 2.4. настоящего Договора, в течение 5 дней с момента подписания настоящего Договора.</w:t>
      </w:r>
    </w:p>
    <w:p>
      <w:pPr>
        <w:pStyle w:val="30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2.4.Обязательства ПОКУПАТЕЛЯ по оплате стоимости ЗЕМЕЛЬНОГО УЧАСТКА считаются выполненными надлежащим образом в момент поступления денежных средств в полном объеме в бюджет Старорусского муниципального района: получатель платежа </w:t>
      </w:r>
      <w:r>
        <w:rPr>
          <w:rFonts w:hint="default" w:ascii="Times New Roman" w:hAnsi="Times New Roman" w:cs="Times New Roman"/>
          <w:b/>
          <w:bCs/>
          <w:i w:val="0"/>
          <w:sz w:val="24"/>
          <w:szCs w:val="24"/>
          <w:lang w:val="ru-RU"/>
        </w:rPr>
        <w:t>Администрация Старорусского муниципального района л/с 04503004340), ИНН 5322000727, КПП 532201001, р/с 03100643000000015000 Отделение Новгород Банка России // УФК по Новгородской области г.Великий Новгород, БИК 014959900 ОКТМО 49639455, к/с 40102810145370000042, КБК 80311406013050000430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.</w:t>
      </w:r>
    </w:p>
    <w:p>
      <w:pPr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.ПЕРЕДАЧА ОБЪЕКТ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ОВ И ЗЕМЕЛЬНОГО УЧАСТКА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.1.При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передаче ЗЕМЕЛЬНОГО УЧАСТКА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тороны в обязательном порядке 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составляют передаточный акт.</w:t>
      </w:r>
    </w:p>
    <w:p>
      <w:pPr>
        <w:pStyle w:val="30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.2.Передача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и оформление ПОКУПАТЕЛЕМ перехода права собственности на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него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осуществляется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в соответствии с действующим законодательством Российской Федерации и настоящим Договором не позднее чем через 30 дней со дня перечисления денежных средств, указанных в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под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пункте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2.3.2. настоящего Договора,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на счет указанный в пункте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2.4.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настоящего Договора.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.3.Обязательство ПРОДАВЦА передать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ЗЕМЕЛЬНЫЙ УЧАСТОК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ПОКУПАТЕЛЮ считается исполненным полностью после подписания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 w:val="0"/>
          <w:sz w:val="24"/>
          <w:szCs w:val="24"/>
        </w:rPr>
        <w:t>торонами передаточного акта.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.ВОЗНИКНОВЕНИЕ  ПРАВА  СОБСТВЕННОСТИ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.1.С момента подписания передаточного акта на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ЗЕМЕЛЬНЫЙ УЧАСТОК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являющейся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предметом настоящего договора, ПОКУПАТЕЛЬ осуществляет права владения и пользования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ЗЕМЕЛЬНЫМ УЧАСТКОМ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в соответствии с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его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назначением.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.2.Право собственности н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а ЗЕМЕЛЬНЫЙ УЧАСТОК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переходит к ПОКУПАТЕЛЮ со дня государственной регистрации перехода права собственности. 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.ОТВЕТСТВЕННОСТЬ СТОРОН</w:t>
      </w:r>
    </w:p>
    <w:p>
      <w:pPr>
        <w:pStyle w:val="18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Федерации.</w:t>
      </w:r>
    </w:p>
    <w:p>
      <w:pPr>
        <w:pStyle w:val="18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5.1.1.Настоящий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При этом Договор считается расторгнутым с момента получения ПОКУПАТЕЛЕМ данного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адресу, указанному в Договоре.</w:t>
      </w:r>
    </w:p>
    <w:p>
      <w:pPr>
        <w:pStyle w:val="18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5.1.2.В случае одностороннего расторжения настоящего Договора по инициативе ПРОДАВЦА в соответствии с подпунктом 5.1.1. настоящего Договора ПРОДАВЕЦ в течение 30 дней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на расчетный счет ПОКУПАТЕЛЯ денежные средства, полученные в счет оплаты цены продажи ЗЕМЕЛЬНОГО УЧАСТКА от ПОКУПАТЕЛЯ.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.ЗАКЛЮЧИТЕЛЬНЫЕ    ПОЛОЖЕНИЯ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contextualSpacing/>
        <w:rPr>
          <w:rFonts w:hint="default" w:ascii="Times New Roman" w:hAnsi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.1.До подписания настоящего договора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ЗЕМЕЛЬНЫЙ УЧАСТОК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осмотрен ПОКУПАТЕЛЕМ. ПОКУПАТЕЛЬ удовлетворен качественным состоянием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 Недостатки или дефекты, препятствующие использованию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ЗЕМЕЛЬНОГО УЧАСТКА</w:t>
      </w: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по назначению, на момент осмотра ПОКУПАТЕЛЕМ не обнаружены.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contextualSpacing/>
        <w:rPr>
          <w:rFonts w:hint="default"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>
      <w:pPr>
        <w:pStyle w:val="11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tLeast"/>
        <w:ind w:firstLine="709"/>
        <w:contextualSpacing/>
        <w:rPr>
          <w:rFonts w:hint="default" w:ascii="Times New Roman" w:hAnsi="Times New Roman" w:eastAsia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6.3.</w:t>
      </w:r>
      <w:r>
        <w:rPr>
          <w:rFonts w:hint="default" w:ascii="Times New Roman" w:hAnsi="Times New Roman" w:cs="Times New Roman"/>
          <w:i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Российской Федерации.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.4.Споры сторон, вытекающие из настоящего договора или относящиеся к нему, в том числе и споры, порожденные толкованием договора, разрешаются путем переговоров, а в случае разногласия – в судебном порядке.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6.5.Отношения между сторонами по настоящему договору прекращаются по исполнении ими всех условий договора и взаимных обязательств.</w:t>
      </w:r>
    </w:p>
    <w:p>
      <w:pPr>
        <w:pStyle w:val="11"/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rPr>
          <w:rFonts w:hint="default" w:ascii="Times New Roman" w:hAnsi="Times New Roman" w:eastAsia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i w:val="0"/>
          <w:sz w:val="24"/>
          <w:szCs w:val="24"/>
        </w:rPr>
        <w:t>.6.Изменения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.7.Настоящий договор составлен в трех экземплярах, имеющих равную юридическую силу, один из которых находится у ПРОДАВЦА, второй - у ПОКУПАТЕЛЯ, третий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экземпляр направляется 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отдел Управления Федеральной службы государственной регистрации, кадастра и картографии  по Новгородской области.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.ЮРИДИЧЕСКИЕ  АДРЕСА  И  РЕКВИЗИТЫ  СТОРОН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Администрация Старорусского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, юридический адрес: 175200, Россия, Новгородская область, г. Старая Русса, Советская Набережная, д.1; банковские реквизиты: ИНН 5322000727,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КПП 532201001, </w:t>
      </w:r>
      <w:r>
        <w:rPr>
          <w:rFonts w:hint="default" w:ascii="Times New Roman" w:hAnsi="Times New Roman" w:cs="Times New Roman"/>
          <w:sz w:val="24"/>
          <w:szCs w:val="24"/>
        </w:rPr>
        <w:t>л/с 04503004340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 р/с 03100643000000015000 Отделение Новгород Банка России // УФК по Новгородской области г.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Великий Новгород.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center"/>
        <w:rPr>
          <w:rFonts w:hint="default"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 ПОДПИСИ   И   ПЕЧАТИ   СТОРО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</w:t>
      </w:r>
    </w:p>
    <w:tbl>
      <w:tblPr>
        <w:tblStyle w:val="4"/>
        <w:tblpPr w:leftFromText="180" w:rightFromText="180" w:vertAnchor="text" w:horzAnchor="page" w:tblpX="1577" w:tblpY="231"/>
        <w:tblOverlap w:val="never"/>
        <w:tblW w:w="0" w:type="auto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6"/>
        <w:gridCol w:w="482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2" w:hRule="atLeast"/>
        </w:trPr>
        <w:tc>
          <w:tcPr>
            <w:tcW w:w="4766" w:type="dxa"/>
            <w:noWrap w:val="0"/>
            <w:vAlign w:val="top"/>
          </w:tcPr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ru-RU"/>
              </w:rPr>
              <w:t>ПРОДАВЕЦ</w:t>
            </w:r>
            <w:r>
              <w:rPr>
                <w:rFonts w:eastAsia="Times New Roman"/>
                <w:color w:val="000000"/>
                <w:sz w:val="21"/>
                <w:szCs w:val="21"/>
              </w:rPr>
              <w:t>:</w:t>
            </w: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Администрация Старорусского</w:t>
            </w: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муниципального района,</w:t>
            </w: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г. Старая Русса, Советская набережная, 1</w:t>
            </w: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ИНН 5322000727</w:t>
            </w: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  <w:p>
            <w:pPr>
              <w:pStyle w:val="29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_______________</w:t>
            </w:r>
            <w:r>
              <w:rPr>
                <w:rFonts w:hint="default" w:eastAsia="Times New Roman"/>
                <w:color w:val="000000"/>
                <w:sz w:val="21"/>
                <w:szCs w:val="21"/>
                <w:lang w:val="ru-RU"/>
              </w:rPr>
              <w:t>/______________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pStyle w:val="29"/>
              <w:jc w:val="center"/>
              <w:rPr>
                <w:rFonts w:hint="default" w:eastAsia="Times New Roman"/>
                <w:b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ru-RU"/>
              </w:rPr>
              <w:t>ПОКУПАТЕЛЬ</w:t>
            </w:r>
            <w:r>
              <w:rPr>
                <w:rFonts w:hint="default" w:eastAsia="Times New Roman"/>
                <w:b/>
                <w:color w:val="000000"/>
                <w:sz w:val="21"/>
                <w:szCs w:val="21"/>
                <w:lang w:val="ru-RU"/>
              </w:rPr>
              <w:t>:</w:t>
            </w: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jc w:val="center"/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</w:pPr>
          </w:p>
          <w:p>
            <w:pPr>
              <w:pStyle w:val="29"/>
              <w:ind w:firstLine="315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_______________</w:t>
            </w:r>
            <w:r>
              <w:rPr>
                <w:rFonts w:hint="default" w:eastAsia="Times New Roman"/>
                <w:color w:val="000000"/>
                <w:sz w:val="21"/>
                <w:szCs w:val="21"/>
                <w:lang w:val="ru-RU"/>
              </w:rPr>
              <w:t>/______________</w:t>
            </w:r>
            <w:r>
              <w:rPr>
                <w:rFonts w:hint="default"/>
                <w:b w:val="0"/>
                <w:bCs/>
                <w:color w:val="000000"/>
                <w:sz w:val="21"/>
                <w:szCs w:val="21"/>
                <w:lang w:val="ru-RU"/>
              </w:rPr>
              <w:t xml:space="preserve">                                                  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keepLines w:val="0"/>
        <w:pageBreakBefore w:val="0"/>
        <w:kinsoku/>
        <w:wordWrap/>
        <w:topLinePunct w:val="0"/>
        <w:bidi w:val="0"/>
        <w:snapToGrid/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4"/>
        <w:tblW w:w="0" w:type="auto"/>
        <w:tblInd w:w="4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0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zh-CN"/>
              </w:rPr>
              <w:t>В Администрацию Старорусского муниципального района</w:t>
            </w: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zh-CN"/>
        </w:rPr>
        <w:t>З А Я В К А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«_____» _______________20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2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г.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г. Старая Русса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От_______________________________________________________________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     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 полное наименование юридического лица либо фамилия, имя,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отчество и паспортные данные физического лица)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именуемое (- ый, - ая) в дальнейшем Претендент, в лице________________________________________________________________________________________________________________________________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                         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 xml:space="preserve"> (должность, фамилия, имя, отчество)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действующего (- ей)  на основании 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(устав, доверенность или др.)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    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 xml:space="preserve"> ( кадастровый номер, площадь, местоположение земельного участка)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____________________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обязуется: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соблюдать условия аукциона, содержащиеся в информационном сообщении о проведении аукциона, опубликованном 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 xml:space="preserve">на сайте администрации Старорусского муниципального района, 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а также порядок проведения аукциона, установленный  статьями  39.11 и 39.12 Земельного кодекса Российской Федерации.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в случае признания единственным заявителем,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платежные реквизиты участника аукциона, счет в банке, на который подлежит перечислению сумма задатка: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р/с__________________________________________________________________________________________________________________________________________________________________________________________________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____________________________________________________________________________________________________________________________________ИНН_______________________КПП_________________ОКТМО___________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(подпись Претендента или его полномочного представителя)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        4) 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Претендент      _________________________________________________________________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(ФИО, должность, подпись Претендента или его полномочного представителя 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«_________»_____________________20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2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г.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МП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Заявка принята Продавцом: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________час._______мин. «_________»_________________20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2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 xml:space="preserve">г. 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zh-CN"/>
        </w:rPr>
        <w:t>______________________________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(подпись уполномоченного лица Продавца)</w:t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ab/>
      </w:r>
      <w:r>
        <w:rPr>
          <w:rFonts w:hint="default" w:ascii="Times New Roman" w:hAnsi="Times New Roman" w:eastAsia="Calibri" w:cs="Times New Roman"/>
          <w:sz w:val="20"/>
          <w:szCs w:val="20"/>
          <w:lang w:eastAsia="zh-CN"/>
        </w:rPr>
        <w:t>(расшифровка подписи)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7205FC"/>
    <w:multiLevelType w:val="multilevel"/>
    <w:tmpl w:val="5A7205F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70255EB"/>
    <w:rsid w:val="0FC96EC2"/>
    <w:rsid w:val="18A91793"/>
    <w:rsid w:val="1A567EC5"/>
    <w:rsid w:val="281B6AD6"/>
    <w:rsid w:val="2FC13EB0"/>
    <w:rsid w:val="4AC87380"/>
    <w:rsid w:val="4B0C1603"/>
    <w:rsid w:val="55F41CF4"/>
    <w:rsid w:val="57FA24F9"/>
    <w:rsid w:val="616E16CD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28">
    <w:name w:val="Название объекта1"/>
    <w:basedOn w:val="1"/>
    <w:qFormat/>
    <w:uiPriority w:val="0"/>
    <w:pPr>
      <w:jc w:val="center"/>
    </w:pPr>
    <w:rPr>
      <w:b/>
      <w:i/>
      <w:sz w:val="28"/>
      <w:szCs w:val="20"/>
    </w:rPr>
  </w:style>
  <w:style w:type="paragraph" w:customStyle="1" w:styleId="29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Times New Roman"/>
      <w:kern w:val="3"/>
      <w:sz w:val="24"/>
      <w:szCs w:val="24"/>
      <w:lang w:val="ru-RU" w:eastAsia="zh-CN" w:bidi="hi-IN"/>
    </w:rPr>
  </w:style>
  <w:style w:type="paragraph" w:customStyle="1" w:styleId="30">
    <w:name w:val="Основной текст 31"/>
    <w:basedOn w:val="1"/>
    <w:qFormat/>
    <w:uiPriority w:val="0"/>
    <w:rPr>
      <w:i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85A16-F911-434A-A45C-DE3BCBD66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3974</Words>
  <Characters>22656</Characters>
  <Lines>188</Lines>
  <Paragraphs>53</Paragraphs>
  <TotalTime>3</TotalTime>
  <ScaleCrop>false</ScaleCrop>
  <LinksUpToDate>false</LinksUpToDate>
  <CharactersWithSpaces>26577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2022-01-20T06:08:00Z</cp:lastPrinted>
  <dcterms:modified xsi:type="dcterms:W3CDTF">2023-05-19T09:27:56Z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