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</w:t>
      </w:r>
      <w:r>
        <w:rPr>
          <w:rFonts w:ascii="Times New Roman" w:hAnsi="Times New Roman" w:cs="Times New Roman"/>
          <w:b/>
          <w:bCs/>
          <w:lang w:val="ru-RU"/>
        </w:rPr>
        <w:t>купли</w:t>
      </w:r>
      <w:r>
        <w:rPr>
          <w:rFonts w:hint="default" w:ascii="Times New Roman" w:hAnsi="Times New Roman" w:cs="Times New Roman"/>
          <w:b/>
          <w:bCs/>
          <w:lang w:val="ru-RU"/>
        </w:rPr>
        <w:t>-продажи</w:t>
      </w:r>
      <w:r>
        <w:rPr>
          <w:rFonts w:ascii="Times New Roman" w:hAnsi="Times New Roman" w:cs="Times New Roman"/>
        </w:rPr>
        <w:t xml:space="preserve"> земельных участков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ind w:left="311" w:leftChars="0" w:firstLineChars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numId w:val="0"/>
        </w:numPr>
        <w:spacing w:after="0" w:line="240" w:lineRule="auto"/>
        <w:ind w:firstLine="330" w:firstLineChars="150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lang w:val="ru-RU"/>
        </w:rPr>
        <w:t>1.1.</w:t>
      </w:r>
      <w:r>
        <w:rPr>
          <w:rFonts w:ascii="Times New Roman" w:hAnsi="Times New Roman" w:eastAsia="Times New Roman" w:cs="Times New Roman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komstr</w:t>
      </w:r>
      <w:r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  <w:lang w:val="en-US"/>
        </w:rPr>
        <w:t>admrussa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>
      <w:pPr>
        <w:pStyle w:val="16"/>
        <w:numPr>
          <w:numId w:val="0"/>
        </w:numPr>
        <w:spacing w:after="0" w:line="240" w:lineRule="auto"/>
        <w:ind w:firstLine="330" w:firstLineChars="150"/>
        <w:contextualSpacing w:val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eastAsia="Times New Roman" w:cs="Times New Roman"/>
          <w:lang w:val="ru-RU"/>
        </w:rPr>
        <w:t>1.2.</w:t>
      </w:r>
      <w:r>
        <w:rPr>
          <w:rFonts w:ascii="Times New Roman" w:hAnsi="Times New Roman" w:eastAsia="Times New Roman" w:cs="Times New Roman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lang w:val="ru-RU"/>
        </w:rPr>
        <w:t xml:space="preserve"> 22.01.2024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90</w:t>
      </w:r>
      <w:r>
        <w:rPr>
          <w:rFonts w:ascii="Times New Roman" w:hAnsi="Times New Roman" w:eastAsia="Times New Roman" w:cs="Times New Roman"/>
        </w:rPr>
        <w:t xml:space="preserve"> «О проведении аукциона», от </w:t>
      </w:r>
      <w:r>
        <w:rPr>
          <w:rFonts w:hint="default" w:ascii="Times New Roman" w:hAnsi="Times New Roman" w:eastAsia="Times New Roman" w:cs="Times New Roman"/>
          <w:lang w:val="ru-RU"/>
        </w:rPr>
        <w:t>14.02.2024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308</w:t>
      </w:r>
      <w:r>
        <w:rPr>
          <w:rFonts w:ascii="Times New Roman" w:hAnsi="Times New Roman" w:eastAsia="Times New Roman" w:cs="Times New Roman"/>
        </w:rPr>
        <w:t>«О проведении аукциона»</w:t>
      </w:r>
      <w:r>
        <w:rPr>
          <w:rFonts w:hint="default" w:ascii="Times New Roman" w:hAnsi="Times New Roman" w:eastAsia="Times New Roman" w:cs="Times New Roman"/>
          <w:lang w:val="ru-RU"/>
        </w:rPr>
        <w:t>, от 19.01.2024 № 80 «О проведении аукциона».</w:t>
      </w:r>
    </w:p>
    <w:p>
      <w:pPr>
        <w:pStyle w:val="16"/>
        <w:numPr>
          <w:numId w:val="0"/>
        </w:numPr>
        <w:spacing w:after="0" w:line="240" w:lineRule="auto"/>
        <w:ind w:firstLine="330" w:firstLineChars="1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http://torgi.gov.ru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Style w:val="6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6"/>
          <w:rFonts w:ascii="Times New Roman" w:hAnsi="Times New Roman"/>
          <w:color w:val="auto"/>
          <w:u w:val="none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ascii="Times New Roman" w:hAnsi="Times New Roman" w:eastAsia="SimSun" w:cs="Times New Roman"/>
        </w:rPr>
        <w:t>https://admrussa. gosuslugi.ru/</w:t>
      </w:r>
      <w:r>
        <w:rPr>
          <w:rStyle w:val="6"/>
          <w:rFonts w:ascii="Times New Roman" w:hAnsi="Times New Roman"/>
          <w:color w:val="auto"/>
          <w:u w:val="none"/>
        </w:rPr>
        <w:t xml:space="preserve"> и на электронной площадке </w:t>
      </w:r>
      <w:r>
        <w:rPr>
          <w:rStyle w:val="6"/>
          <w:rFonts w:ascii="Times New Roman" w:hAnsi="Times New Roman" w:eastAsia="SimSun" w:cs="Times New Roman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>1.4</w:t>
      </w:r>
      <w:r>
        <w:rPr>
          <w:rFonts w:ascii="Times New Roman" w:hAnsi="Times New Roman" w:eastAsia="Times New Roman" w:cs="Times New Roman"/>
          <w:b/>
          <w:bCs/>
        </w:rPr>
        <w:t xml:space="preserve">. </w:t>
      </w:r>
      <w:r>
        <w:rPr>
          <w:rFonts w:ascii="Times New Roman" w:hAnsi="Times New Roman" w:eastAsia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eastAsia="Times New Roman" w:cs="Times New Roman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Times New Roman" w:cs="Times New Roman"/>
        </w:rPr>
        <w:t xml:space="preserve">Место </w:t>
      </w:r>
      <w:r>
        <w:rPr>
          <w:rFonts w:ascii="Times New Roman" w:hAnsi="Times New Roman" w:eastAsia="Times New Roman" w:cs="Times New Roman"/>
          <w:bCs/>
        </w:rPr>
        <w:t xml:space="preserve">проведения аукциона в электронной форме: </w:t>
      </w:r>
      <w:r>
        <w:rPr>
          <w:rFonts w:ascii="Times New Roman" w:hAnsi="Times New Roman" w:eastAsia="Calibri" w:cs="Times New Roman"/>
          <w:bCs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</w:rPr>
        <w:t>ООО «РТС-тендер»</w:t>
      </w:r>
      <w:r>
        <w:rPr>
          <w:rFonts w:ascii="Times New Roman" w:hAnsi="Times New Roman" w:eastAsia="Calibri" w:cs="Times New Roman"/>
          <w:bCs/>
        </w:rPr>
        <w:t xml:space="preserve">, размещенная на сайте </w:t>
      </w:r>
      <w:r>
        <w:rPr>
          <w:rStyle w:val="6"/>
          <w:rFonts w:ascii="Times New Roman" w:hAnsi="Times New Roman" w:eastAsia="SimSun" w:cs="Times New Roman"/>
        </w:rPr>
        <w:t>https://www.rts-tender.ru</w:t>
      </w:r>
      <w:r>
        <w:rPr>
          <w:rFonts w:ascii="Times New Roman" w:hAnsi="Times New Roman" w:eastAsia="Times New Roman" w:cs="Times New Roman"/>
        </w:rPr>
        <w:t xml:space="preserve"> в сети «Интернет». </w:t>
      </w:r>
      <w:r>
        <w:rPr>
          <w:rFonts w:ascii="Times New Roman" w:hAnsi="Times New Roman" w:eastAsia="Calibri" w:cs="Times New Roman"/>
        </w:rPr>
        <w:t xml:space="preserve">Юридическое лицо для организации аукциона в электронной форме – </w:t>
      </w:r>
      <w:r>
        <w:rPr>
          <w:rFonts w:ascii="Times New Roman" w:hAnsi="Times New Roman" w:eastAsia="sans-serif" w:cs="Times New Roman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hAnsi="Times New Roman" w:eastAsia="Calibri" w:cs="Times New Roman"/>
          <w:bCs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Электронная площадка (универсальная торговая платформа) –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leftChars="0" w:firstLine="709" w:firstLineChars="0"/>
        <w:contextualSpacing w:val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 xml:space="preserve">договоров </w:t>
      </w:r>
      <w:r>
        <w:rPr>
          <w:rFonts w:ascii="Times New Roman" w:hAnsi="Times New Roman" w:cs="Times New Roman"/>
          <w:b/>
          <w:bCs/>
          <w:lang w:val="ru-RU"/>
        </w:rPr>
        <w:t>купли</w:t>
      </w:r>
      <w:r>
        <w:rPr>
          <w:rFonts w:hint="default" w:ascii="Times New Roman" w:hAnsi="Times New Roman" w:cs="Times New Roman"/>
          <w:b/>
          <w:bCs/>
          <w:lang w:val="ru-RU"/>
        </w:rPr>
        <w:t>-продажи</w:t>
      </w:r>
      <w:r>
        <w:rPr>
          <w:rFonts w:ascii="Times New Roman" w:hAnsi="Times New Roman" w:cs="Times New Roman"/>
        </w:rPr>
        <w:t xml:space="preserve"> земельных участков:</w:t>
      </w:r>
    </w:p>
    <w:tbl>
      <w:tblPr>
        <w:tblStyle w:val="15"/>
        <w:tblW w:w="14595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1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 1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Новосельское сельское поселение, пос. Новосельский, земельный участок 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17:0171003:850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405" w:firstLineChars="150"/>
              <w:jc w:val="both"/>
              <w:rPr>
                <w:rFonts w:hint="default" w:ascii="Times New Roman" w:hAnsi="Times New Roman" w:eastAsia="Andale Sans UI" w:cs="Times New Roman"/>
                <w:kern w:val="3"/>
                <w:sz w:val="27"/>
                <w:szCs w:val="27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7"/>
                <w:szCs w:val="27"/>
                <w:lang w:val="ru-RU" w:eastAsia="en-US" w:bidi="en-US"/>
              </w:rPr>
              <w:t>ведение садоводства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lang w:val="ru-RU" w:eastAsia="zh-CN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lang w:val="ru-RU" w:eastAsia="zh-CN"/>
              </w:rPr>
              <w:t>Новосельское</w:t>
            </w:r>
            <w:r>
              <w:rPr>
                <w:rFonts w:hint="default" w:ascii="Times New Roman" w:hAnsi="Times New Roman" w:cs="Times New Roman"/>
                <w:lang w:val="ru-RU" w:eastAsia="zh-CN"/>
              </w:rPr>
              <w:t xml:space="preserve"> сельское поселение Старорусского муниципального района</w:t>
            </w:r>
            <w:r>
              <w:rPr>
                <w:rFonts w:ascii="Times New Roman" w:hAnsi="Times New Roman" w:cs="Times New Roman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ascii="Times New Roman" w:hAnsi="Times New Roman" w:cs="Times New Roman"/>
                <w:lang w:val="ru-RU" w:eastAsia="zh-CN"/>
              </w:rPr>
              <w:t>Новосельского</w:t>
            </w:r>
            <w:r>
              <w:rPr>
                <w:rFonts w:hint="default" w:ascii="Times New Roman" w:hAnsi="Times New Roman" w:cs="Times New Roman"/>
                <w:lang w:val="ru-RU" w:eastAsia="zh-C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lang w:val="ru-RU" w:eastAsia="zh-CN"/>
              </w:rPr>
              <w:t>11.12.2012</w:t>
            </w:r>
            <w:r>
              <w:rPr>
                <w:rFonts w:ascii="Times New Roman" w:hAnsi="Times New Roman" w:cs="Times New Roman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lang w:val="ru-RU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1495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>
            <w:pPr>
              <w:widowControl w:val="0"/>
              <w:autoSpaceDN w:val="0"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 - Публичный сервитут объекта электросетевого хозяйства ВЛ-10кВ ПС Новосельская Л-2, реестровый номер границы: 53:17-6.1852, Зоне с особыми условиями использования территории - Публичный сервитут для размещения объекта электросетевого хозяйства ВЛ-0,4 кВ № 2 н.п. Новосельский, реестровый номер границы: 53:17-6.1391, Зоне с особыми условиями использования территории - Охранная зона объекта линии электропередач ВЛ-10 кВ ПС Новосельская Л-2, реестровый номер границы: 53:17-6.77, Зоне с особыми условиями использования территории - Охранная зона объекта  электросетевого хозяйства ВЛ-0,4 кВ № 2 н.п. Новосельский, реестровый номер границы: 53:17-6.658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9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водопроводная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лини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100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чугун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(диаметр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, материал труб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у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к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азан условно)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по ул. Алексеева. Необходимость установки водопроводного колодца в точке подключения определить на стадии инженерных изысканий.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Техническая возможность подключения к централизованной системе водоотведения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19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30.01.2024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Подключение к сетям теплоснабжения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26.01.2024 № 4-рср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, не предусмотрено «Схемой теплоснабжения Новосельского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Cs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Cs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(Определена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стоимости объекта недвижимости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от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22.12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.2023 №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12166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1" w:firstLineChars="150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9700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коп. (двадцать 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девять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тысяч семьсот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рублей 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копе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ек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).</w:t>
            </w:r>
          </w:p>
          <w:p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1" w:firstLineChars="1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891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восемьсот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девяносто один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рубл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ь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1" w:firstLineChars="150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5940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00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пять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тысяч девятьсот сорок рублей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00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lang w:val="ru-RU" w:eastAsia="en-US"/>
              </w:rPr>
              <w:t xml:space="preserve"> 2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городское поселение город Старая Русса, г. Старая русса, ул. Возрождения, земельный участок 154А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24:0040113:758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Для индивидуального жилищного строительства</w:t>
            </w:r>
          </w:p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149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Зона санитарной охраны третьего пояса артезианской скважиы на участке недр «Дубовицкий» в д. Дубовицы, реестровый номер границы: 53:00-6.436;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Иная зона с особыми условиями использования территории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53:00-6.148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53:24-6.510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Территория сильного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53:00-6.456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водоохранная зона реки Полисть в границах г.Старая Русса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53:24-6.103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.</w:t>
            </w:r>
          </w:p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от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водовода Д 300 мм., чугун по ул. Возрождения, г. Старая Русса (участок проложенный вдоль з\у №№ 144А, 144Б, 144В (в связи с аварийным состоянием водопроводной линии Д 150 мм., чугун, проложенной по обочине проезжей части по ул. Возрождения (вдоль земельных участков №№ 146, 148, 150, 152, 154 и т.д. до МКД №168)). Необходимость установки водопроводного колодца с запорной арматурой на врезке уточнить на этапе изысканий.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Предварительные технические условия на подключение к централизованной системе водоотведения: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lang w:val="ru-RU" w:eastAsia="en-US"/>
              </w:rPr>
              <w:t>самотечный канализационный коллектор по ул. Возрождения в г. Старая Русса. Канализационный колодец в районе МКД №162 по ул. Возрождения.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20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30.01.2024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26.01.2024 № 4-рср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, не предусмотрено «Схемой теплоснабжения города Старая Русса»,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709" w:firstLineChars="0"/>
              <w:jc w:val="both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Cs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Cs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(Определена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стоимости объекта недвижимости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№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24007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1" w:firstLineChars="150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198200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сто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девяносто восемт тысяч двести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рублей 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копе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ек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).</w:t>
            </w:r>
          </w:p>
          <w:p>
            <w:pPr>
              <w:spacing w:after="0" w:line="240" w:lineRule="atLeast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1" w:firstLineChars="1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5946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пять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тысяч девятьсот сорок шесть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рублей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39600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00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тридцать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девять тысяч шестьсот рублей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 3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Ивановское сельское поселение, д. Котецко, з.у. 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17:0211101:171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Животноводство</w:t>
            </w:r>
          </w:p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>Правил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 xml:space="preserve">землепользования и застройки Ивановского сельского поселения Старорусского муниципального района Новгородской области, утвержденными решением Совета депутатов Ивановского сельского поселения 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20.06.2011 №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149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>Ограничение (обременения) прав: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 - публичный сервитут объекта электросетевого хозяйства ВЛ-10 кВ ПС Теремово линия 7, реестровый номер границы: 53:17-6.1860, зоне с особыми условиями использования территории - ВЛ-10 кВ ПС Теремово линия 7 в административных границах Старорусского муниципального района Новгородской области, реестровый номер границы: 53:17-6.15.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не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 53:17:00211101 Ивановское сельское поселение (д. Котецко).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с-21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30.01.2024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населенный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пункт д. Котецко Ивановского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26.01.2024 № 4-рср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, не предусмотрено «Схемой теплоснабжения города Ивановского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Cs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Cs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(Определена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стоимости объекта недвижимости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№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24003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1" w:firstLineChars="150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30000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тридцать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тысяч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рублей 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копе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ек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).</w:t>
            </w:r>
          </w:p>
          <w:p>
            <w:pPr>
              <w:spacing w:after="0" w:line="240" w:lineRule="atLeast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1" w:firstLineChars="1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900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девятьсот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рублей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р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азмер задатка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6000 руб. 00 коп. (шесть тысяч рублей 00 копеек)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17 февраля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с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подачи (приема) заявок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color w:val="auto"/>
        </w:rPr>
        <w:t>www.rts-tender.ru</w:t>
      </w:r>
      <w:r>
        <w:rPr>
          <w:rStyle w:val="6"/>
          <w:rFonts w:ascii="Times New Roman" w:hAnsi="Times New Roman" w:cs="Times New Roman"/>
          <w:b/>
          <w:color w:val="auto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15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18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«РТС-тендер»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13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мин.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 – </w:t>
      </w:r>
      <w:r>
        <w:rPr>
          <w:rFonts w:ascii="Times New Roman" w:hAnsi="Times New Roman" w:eastAsia="sans-serif" w:cs="Times New Roman"/>
          <w:color w:val="202020"/>
          <w:sz w:val="24"/>
          <w:szCs w:val="24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>
        <w:rPr>
          <w:rStyle w:val="6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Счёт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30101810445250000360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БИК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044525360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ИНН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7710357167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КПП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773001001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360" w:firstLineChars="150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18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в 10.00 час.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физические лица: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копию всех листов документа, удостоверяющего личность;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юридические лица: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/>
        </w:rPr>
        <w:t>*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/>
        </w:rPr>
        <w:t>*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/>
        </w:rPr>
        <w:t>*</w:t>
      </w:r>
      <w:r>
        <w:rPr>
          <w:rFonts w:ascii="Times New Roman" w:hAnsi="Times New Roman" w:eastAsia="Calibri" w:cs="Times New Roman"/>
          <w:bCs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"consultantplus://offline/ref=1018AF8E902C8A8369C11EDDC3A943C2AAEAED217A7EF984E6EEF39448E5D826804E731581A443F6h3BBF"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порядке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leftChars="0" w:firstLine="360" w:firstLineChars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hAnsi="Times New Roman" w:eastAsia="Lucida Sans Unicode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hAnsi="Times New Roman" w:eastAsia="Calibri" w:cs="Times New Roman"/>
          <w:sz w:val="24"/>
          <w:szCs w:val="24"/>
        </w:rPr>
        <w:t>7.</w:t>
      </w:r>
      <w:r>
        <w:rPr>
          <w:rFonts w:ascii="Times New Roman" w:hAnsi="Times New Roman" w:eastAsia="Calibri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360" w:firstLineChars="15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360" w:firstLineChars="1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360" w:firstLineChars="150"/>
        <w:jc w:val="both"/>
        <w:rPr>
          <w:color w:val="000000"/>
        </w:rPr>
      </w:pPr>
      <w:r>
        <w:rPr>
          <w:color w:val="00000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360" w:firstLineChars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</w:t>
      </w:r>
      <w:r>
        <w:rPr>
          <w:rFonts w:ascii="Times New Roman" w:hAnsi="Times New Roman" w:cs="Times New Roman"/>
          <w:color w:val="000000"/>
        </w:rPr>
        <w:t>по строительству, имущественным отношениям и земельным ресурсам Старорусского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autoSpaceDE w:val="0"/>
        <w:spacing w:after="0" w:line="240" w:lineRule="auto"/>
        <w:ind w:firstLine="360" w:firstLineChars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360" w:firstLineChars="15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10.Заключение договора купли-продажи (аренды)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(аренды) заключается не ранее чем через десять дней со дня размещения информации о результатах аукциона 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сайте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www.torgi.gov.ru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360" w:firstLineChars="150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>
      <w:pPr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pgSz w:w="16838" w:h="11906" w:orient="landscape"/>
      <w:pgMar w:top="1418" w:right="1134" w:bottom="567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6A33F05"/>
    <w:rsid w:val="070255EB"/>
    <w:rsid w:val="0FC96EC2"/>
    <w:rsid w:val="119A3A9C"/>
    <w:rsid w:val="11E16300"/>
    <w:rsid w:val="16EA018D"/>
    <w:rsid w:val="1701281C"/>
    <w:rsid w:val="25D6235B"/>
    <w:rsid w:val="25E47CB2"/>
    <w:rsid w:val="281B6AD6"/>
    <w:rsid w:val="2FC13EB0"/>
    <w:rsid w:val="3B4E3CA7"/>
    <w:rsid w:val="3C3D23AF"/>
    <w:rsid w:val="45AB4212"/>
    <w:rsid w:val="486F53BE"/>
    <w:rsid w:val="4AC87380"/>
    <w:rsid w:val="4B0C1603"/>
    <w:rsid w:val="4BC57522"/>
    <w:rsid w:val="55F41CF4"/>
    <w:rsid w:val="56F55A2C"/>
    <w:rsid w:val="576E4E94"/>
    <w:rsid w:val="57AB5876"/>
    <w:rsid w:val="57FA24F9"/>
    <w:rsid w:val="5D010A99"/>
    <w:rsid w:val="5D1B45BC"/>
    <w:rsid w:val="5D5913E1"/>
    <w:rsid w:val="616E16CD"/>
    <w:rsid w:val="639E1468"/>
    <w:rsid w:val="655A139A"/>
    <w:rsid w:val="6B0B4D81"/>
    <w:rsid w:val="6DF27597"/>
    <w:rsid w:val="6EDB4A3C"/>
    <w:rsid w:val="747264D7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12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2023-09-15T05:50:00Z</cp:lastPrinted>
  <dcterms:modified xsi:type="dcterms:W3CDTF">2024-02-14T14:20:57Z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