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  <w:r>
        <w:t xml:space="preserve">                                                            </w:t>
      </w: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U22000022680000000049-1</w:t>
      </w:r>
    </w:p>
    <w:p>
      <w:pPr>
        <w:ind w:left="1560" w:right="15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аренды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в электронной форме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18.08.2023 11:21:01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  <w:lang w:val="en-US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Ивановское сельское поселение, земельный участок 18/14с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14 850,00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Наговское сельское поселение, д. Устрека, земельный участок 74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21 000,00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8 550,00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состоялся- 0 допущено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Тахирова, з.у. 11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882 907,29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состоялся- 0 заявок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22000022680000000049.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Ивановское сельское поселение, земельный участок 18/14с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14 850,00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Евменов Василий Анатольевич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rFonts w:hint="default"/>
                <w:lang w:val="ru-RU"/>
              </w:rPr>
              <w:t>..............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Наговское сельское поселение, д. Устрека, земельный участок 74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Понкрашов Юрий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2............................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8 550,00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Астафьев Александр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3.............................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8 550,00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..........................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4.............................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  <w:bookmarkStart w:id="3" w:name="_GoBack"/>
      <w:bookmarkEnd w:id="3"/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lang w:val="en-US"/>
        </w:rPr>
        <w:t>10</w:t>
      </w:r>
      <w:r>
        <w:t>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Ивановское сельское поселение, земельный участок 18/14с</w:t>
            </w:r>
          </w:p>
        </w:tc>
        <w:tc>
          <w:tcPr>
            <w:tcW w:w="2410" w:type="dxa"/>
            <w:shd w:val="clear" w:color="auto" w:fill="auto"/>
          </w:tcPr>
          <w:p>
            <w:r>
              <w:t>Евменов Василий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242697/326730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08.08.2023 10:15:29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Наговское сельское поселение, д. Устрека, земельный участок 74</w:t>
            </w:r>
          </w:p>
        </w:tc>
        <w:tc>
          <w:tcPr>
            <w:tcW w:w="2410" w:type="dxa"/>
            <w:shd w:val="clear" w:color="auto" w:fill="auto"/>
          </w:tcPr>
          <w:p>
            <w:r>
              <w:t>Понкрашов Юрий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241843/325576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04.08.2023 15:06:41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rPr>
          <w:lang w:val="en-US"/>
        </w:rPr>
        <w:t>10</w:t>
      </w:r>
      <w:r>
        <w:t>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Астафьев Александр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240015/323221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Черненко Алена Юрьевна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244938/329633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приложены не все страницы (20) документа удостоверяющего личность (паспорт)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3 на участие в аукционе в электронной форме не была допущена ни одна из поданных заявок. Аукцион по лоту в электронной форме признается несостоявшимся.</w:t>
            </w:r>
          </w:p>
        </w:tc>
      </w:tr>
      <w:tr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4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67F33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5F3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597</Words>
  <Characters>3405</Characters>
  <Lines>28</Lines>
  <Paragraphs>7</Paragraphs>
  <TotalTime>4</TotalTime>
  <ScaleCrop>false</ScaleCrop>
  <LinksUpToDate>false</LinksUpToDate>
  <CharactersWithSpaces>3995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kumi143</cp:lastModifiedBy>
  <cp:lastPrinted>2010-12-16T07:47:00Z</cp:lastPrinted>
  <dcterms:modified xsi:type="dcterms:W3CDTF">2023-08-18T08:26:10Z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19CF586A64EE432E8251E46AF4DC4A38</vt:lpwstr>
  </property>
</Properties>
</file>