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tabs>
          <w:tab w:val="left" w:pos="567"/>
        </w:tabs>
        <w:jc w:val="right"/>
      </w:pPr>
      <w:r>
        <w:t xml:space="preserve">                                     У</w:t>
      </w:r>
      <w:bookmarkStart w:id="11" w:name="_GoBack"/>
      <w:bookmarkEnd w:id="11"/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U22000022680000000107-3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19.08.2024 14:14:20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rFonts w:hint="default"/>
          <w:i/>
          <w:iCs/>
          <w:color w:val="000000"/>
          <w:lang w:val="ru-RU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iCs/>
          <w:color w:val="000000"/>
        </w:rPr>
        <w:t>в электронной форме проводится в соответствии с</w:t>
      </w:r>
      <w:r>
        <w:rPr>
          <w:rFonts w:hint="default"/>
          <w:iCs/>
          <w:color w:val="000000"/>
          <w:lang w:val="ru-RU"/>
        </w:rPr>
        <w:t>о ст. 39.11, 39.12 Земельного Кодекса Российской Федерации.</w:t>
      </w:r>
    </w:p>
    <w:p>
      <w:pPr>
        <w:jc w:val="center"/>
        <w:rPr>
          <w:i/>
          <w:iCs/>
          <w:color w:val="000000"/>
        </w:rPr>
      </w:pPr>
    </w:p>
    <w:p>
      <w:pPr>
        <w:jc w:val="both"/>
        <w:rPr>
          <w:rFonts w:hint="default"/>
          <w:lang w:val="ru-RU"/>
        </w:rPr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аукцион в электронной форме на право заключения договоров аренды земельных участков</w:t>
      </w:r>
      <w:r>
        <w:rPr>
          <w:rFonts w:hint="default"/>
          <w:lang w:val="ru-RU"/>
        </w:rPr>
        <w:t>.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rFonts w:hint="default"/>
          <w:lang w:val="ru-RU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  <w:r>
        <w:rPr>
          <w:rFonts w:hint="default"/>
          <w:lang w:val="ru-RU"/>
        </w:rPr>
        <w:t>.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2"/>
            <w:bookmarkStart w:id="1" w:name="OLE_LINK1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30 000,00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4 200,00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36 100,00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  <w:rPr>
          <w:rFonts w:hint="default"/>
          <w:lang w:val="ru-RU"/>
        </w:rPr>
      </w:pPr>
      <w:r>
        <w:t>4.1. Лоты, выделенные в отдельные процедуры:</w:t>
      </w:r>
      <w:r>
        <w:rPr>
          <w:lang w:val="ru-RU"/>
        </w:rPr>
        <w:t>нет</w:t>
      </w:r>
      <w:r>
        <w:rPr>
          <w:rFonts w:hint="default"/>
          <w:lang w:val="ru-RU"/>
        </w:rPr>
        <w:t>.</w:t>
      </w:r>
    </w:p>
    <w:p>
      <w:pPr>
        <w:shd w:val="clear" w:color="auto" w:fill="FFFFFF"/>
        <w:tabs>
          <w:tab w:val="left" w:pos="6795"/>
        </w:tabs>
        <w:jc w:val="both"/>
      </w:pPr>
    </w:p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22000022680000000107.</w:t>
      </w:r>
    </w:p>
    <w:p>
      <w:p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Шаршуков Алексей Анатольевич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Принцева Елена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381710072579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195197, Российская Федерация, г. Санкт-Петербург, Кондратьевский Проспект, 40 корпус 4 лит.А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Афанасьев Руслан Викторович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532204313520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Россия, Новгородская обл, г Старая Русса, мкр Городок, д. 20, к. 1, кв. 28А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Васильев Виктор Алексеевич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532204384601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Россия, Новгородская обл, г Старая Русса, мкр Городок, д. 13,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ВИНОКУРОВ НИКИТА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332802085715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600014, Российская Федерация, Владимирская обл., г. Владимир, Проспект Строителей, Дом 9, корп.4, 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Закопай Сергей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532206562360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Россия, Новгородская обл, г Старая Русса, ул Авиаторов, д.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502300628925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129128, Россия, г Москва, г Москва, пр-кт Мира, д. 202, 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780430003187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175201, Российская Федерация, Новгородская обл., г. Старая Русса, ул. Александровская, 15,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532203757890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620501445070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532201510801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Остапчук Мария Владимировна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471611116486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187021, Российская Федерация, Ленинградская обл., д. Федоровское, Новая,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644911204544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175223, Российская Федерация, Новгородская обл., д. Средняя Ловать, нет, 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Стецюк Дмитрий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110215155910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187000, Россия, Ленинградская обл, г Тосно, пр-кт Ленина, д. 3, 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532201510801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ООО "БАДРОН"</w:t>
            </w:r>
          </w:p>
        </w:tc>
        <w:tc>
          <w:tcPr>
            <w:tcW w:w="1250" w:type="pct"/>
            <w:shd w:val="clear" w:color="auto" w:fill="auto"/>
          </w:tcPr>
          <w:p>
            <w:r>
              <w:t>3525326022</w:t>
            </w:r>
          </w:p>
          <w:p>
            <w:pPr>
              <w:rPr>
                <w:highlight w:val="cyan"/>
                <w:lang w:val="en-US"/>
              </w:rPr>
            </w:pPr>
            <w:r>
              <w:t>352501001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160000, Российская Федерация, Вологодская обл., г. Вологда, пр. Победы, дом 26, офис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"КВАНТ"</w:t>
            </w:r>
          </w:p>
        </w:tc>
        <w:tc>
          <w:tcPr>
            <w:tcW w:w="1250" w:type="pct"/>
            <w:shd w:val="clear" w:color="auto" w:fill="auto"/>
          </w:tcPr>
          <w:p>
            <w:r>
              <w:t>5304005916</w:t>
            </w:r>
          </w:p>
          <w:p>
            <w:pPr>
              <w:rPr>
                <w:highlight w:val="cyan"/>
                <w:lang w:val="en-US"/>
              </w:rPr>
            </w:pPr>
            <w:r>
              <w:t>530401001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175227, Россия, Новгородская обл, Старорусский р-н, деревня Пинаевы Горки, ул Центральная, д. 26, офис.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383146/517034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10:20:14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Афанасьев Руслан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377695/509787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30.07.2024 09:05:59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ВИНОКУРОВ НИКИТА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383174/517061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10:58:45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Закопай Сергей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377980/510138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30.07.2024 17:41:45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Киселев Михаил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382460/516148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11.08.2024 14:30:49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Костин Артем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383023/516895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12.08.2024 23:07:20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КРАСНОВ АЛЕКСЕЙ ВАЛЕРЬЕВИЧ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380900/514035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07.08.2024 09:49:21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382982/516851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12.08.2024 19:43:18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382092/515534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09.08.2024 12:21:32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383137/517025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09:54:03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Остапчук Мария Владимировна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383380/517332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16:10:40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Панков Олег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381016/514191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07.08.2024 13:53:21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383131/517018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09:50:44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21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382092/515533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09.08.2024 12:21:32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383137/517024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09:54:03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383131/517017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13.08.2024 09:50:44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49"/>
        <w:gridCol w:w="200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Васильев Виктор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377137/509009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п.6.2. Извещения необходимо приложить копию всех листов документа, удостоверяющего личность (20 листов)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Стецюк Дмитрий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382937/516788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п.6.2. Извещения необходимо приложить копию всех листов документа, удостоверяющего личность (20 листов)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ООО "БАДРОН"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379344/511932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 Извещения предоставлен неполный пакет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 Российская Федерация, Новгородская обл.,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"КВАНТ"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379351/511945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согласно п.6.2 Извещения предоставлен неполный пакет документов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Панков Олег Игоревич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338 700,00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13:45:32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Закопай Сергей Сергеевич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337 800,00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13:44:46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319 800,00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12:57:00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Афанасьев Руслан Викторович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318 900,00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12:56:41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Киселев Михаил Николаевич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210 900,00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10:35:56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КРАСНОВ АЛЕКСЕЙ ВАЛЕРЬЕВИЧ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203 700,00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10:31:07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Костин Артем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198 300,00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10:30:18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Остапчук Мария Владимировна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195 600,00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10:29:59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Абницкая Екатерина Олеговна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163 200,00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10:24:18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Малышев Валерий Анатольевич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144 300,00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19.08.2024 10:21:27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10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Авиаторов, земельный участок 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Панков Олег Игоревич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338 700,00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381016/514191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193318, Россия, Санкт-Петербург, Санкт-Петербург, Союзный, 10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07.08.2024 13:53:21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bookmarkEnd w:id="9"/>
    </w:tbl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аренды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shd w:val="clear" w:color="auto" w:fill="FFFFFF"/>
        <w:spacing w:before="120"/>
        <w:jc w:val="both"/>
        <w:rPr>
          <w:rFonts w:hint="default"/>
          <w:i/>
          <w:lang w:val="ru-RU"/>
        </w:rPr>
      </w:pPr>
      <w:r>
        <w:t>12. Заключить договор</w:t>
      </w:r>
      <w:r>
        <w:rPr>
          <w:rFonts w:hint="default"/>
          <w:lang w:val="ru-RU"/>
        </w:rPr>
        <w:t xml:space="preserve"> аренды</w:t>
      </w:r>
      <w:r>
        <w:t xml:space="preserve"> с </w:t>
      </w:r>
      <w:r>
        <w:rPr>
          <w:lang w:val="ru-RU"/>
        </w:rPr>
        <w:t>победителем</w:t>
      </w:r>
      <w:r>
        <w:rPr>
          <w:rFonts w:hint="default"/>
          <w:lang w:val="ru-RU"/>
        </w:rPr>
        <w:t>.</w:t>
      </w:r>
    </w:p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13. Настоящий протокол подлежит размещению на сайте</w:t>
      </w:r>
      <w:r>
        <w:rPr>
          <w:rFonts w:hint="default"/>
          <w:lang w:val="ru-RU"/>
        </w:rPr>
        <w:t xml:space="preserve"> Администрации муниципального района.</w:t>
      </w:r>
    </w:p>
    <w:p>
      <w:pPr>
        <w:jc w:val="both"/>
        <w:rPr>
          <w:color w:val="000000"/>
        </w:rPr>
      </w:pPr>
      <w:bookmarkStart w:id="10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Шаршуков А.А.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Принцева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10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1EBC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78197740"/>
    <w:rsid w:val="78A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8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kumi143</cp:lastModifiedBy>
  <cp:lastPrinted>2024-08-19T11:20:00Z</cp:lastPrinted>
  <dcterms:modified xsi:type="dcterms:W3CDTF">2024-08-19T12:20:37Z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D96AF5C103E442D6B076AF3826D9CA21</vt:lpwstr>
  </property>
</Properties>
</file>