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Извещение о приёме заявлений о намерении участвовать в аукционе по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предоставлению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земельных участков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53:17:0040601:222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1345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Наговское сельское поселение, д. Ужин, земельный участок 12,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53:17:0040601:223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1357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Наговское сельское поселение, д. Ужин, земельный участок 10,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 намерении участвовать в аукционе по продаже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(предоставлению в аренду)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данных земельных участков.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.06.2024</w:t>
      </w:r>
      <w:r>
        <w:rPr>
          <w:rFonts w:hint="default" w:ascii="Times New Roman" w:hAnsi="Times New Roman" w:cs="Times New Roman"/>
          <w:sz w:val="28"/>
          <w:szCs w:val="28"/>
        </w:rPr>
        <w:t xml:space="preserve"> включительно).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60" w:firstLineChars="20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 схемами расположения земельных участков на бумажном носителе, можно ознакомиться в комитете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строительству, имущественным отношениям и земельным ресурсам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муниципального района (каб.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t>), с 8.30 до 17.30 (перерыв на обед с 13.00 до 14.00) в рабочие дни.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60" w:firstLineChars="20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C186683"/>
    <w:rsid w:val="2CE47B49"/>
    <w:rsid w:val="31A055C6"/>
    <w:rsid w:val="32A723A0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1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2024-05-07T08:17:35Z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