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ПАО «Россети Северо-Запад»</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ые</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и</w:t>
      </w:r>
      <w:r>
        <w:rPr>
          <w:rFonts w:hint="default" w:ascii="Times New Roman" w:hAnsi="Times New Roman" w:cs="Times New Roman"/>
          <w:b w:val="0"/>
          <w:bCs/>
          <w:sz w:val="24"/>
          <w:szCs w:val="24"/>
        </w:rPr>
        <w:t>.</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47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5471"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3603"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ВЛЗ-10 кВ Л-2 от ПС "Новосельский" (отпайка от опоры №5)»</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1 221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 </w:t>
            </w:r>
            <w:r>
              <w:rPr>
                <w:rFonts w:hint="default" w:ascii="Times New Roman" w:hAnsi="Times New Roman" w:cs="Times New Roman"/>
                <w:b w:val="0"/>
                <w:szCs w:val="24"/>
              </w:rPr>
              <w:t>Новгородская область, р-н Старорусский, Старорусское лесничество, Старорусское участковое лесничество, лесные квартала №139, №140, №144.</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w:t>
            </w:r>
            <w:r>
              <w:rPr>
                <w:rFonts w:hint="default" w:ascii="Times New Roman" w:hAnsi="Times New Roman" w:cs="Times New Roman"/>
                <w:b w:val="0"/>
                <w:bCs/>
                <w:szCs w:val="24"/>
                <w:lang w:val="ru-RU"/>
              </w:rPr>
              <w:t>ах</w:t>
            </w:r>
            <w:r>
              <w:rPr>
                <w:rFonts w:hint="default" w:ascii="Times New Roman" w:hAnsi="Times New Roman" w:cs="Times New Roman"/>
                <w:b w:val="0"/>
                <w:bCs/>
                <w:szCs w:val="24"/>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53:17:0171003 - </w:t>
            </w:r>
            <w:r>
              <w:rPr>
                <w:rFonts w:hint="default" w:ascii="Times New Roman" w:hAnsi="Times New Roman" w:cs="Times New Roman"/>
                <w:b w:val="0"/>
                <w:szCs w:val="24"/>
              </w:rPr>
              <w:t>Новгородская область, Старорусский район;</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53:17:0172215 -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szCs w:val="24"/>
              </w:rPr>
              <w:t>53:17:0172215:8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2</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iCs/>
                <w:color w:val="000000"/>
                <w:szCs w:val="24"/>
              </w:rPr>
              <w:t>ВЛИ-0,4кВ Л-1 от КТП-10/0,4 кВ Ретле-2»</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419 кв. м.</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«Наговское», деревня Ретлё, улица Ильменская, земельный участок 1Д;</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«Наговское», деревня Ретлё, улица Ильменская, земельный участок 36/1</w:t>
            </w:r>
            <w:r>
              <w:rPr>
                <w:rFonts w:hint="default" w:ascii="Times New Roman" w:hAnsi="Times New Roman" w:cs="Times New Roman"/>
                <w:b w:val="0"/>
                <w:szCs w:val="24"/>
              </w:rPr>
              <w:t>.</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w:t>
            </w:r>
            <w:r>
              <w:rPr>
                <w:rFonts w:hint="default" w:ascii="Times New Roman" w:hAnsi="Times New Roman" w:cs="Times New Roman"/>
                <w:b w:val="0"/>
                <w:bCs/>
                <w:szCs w:val="24"/>
                <w:lang w:val="ru-RU"/>
              </w:rPr>
              <w:t>ах</w:t>
            </w:r>
            <w:r>
              <w:rPr>
                <w:rFonts w:hint="default" w:ascii="Times New Roman" w:hAnsi="Times New Roman" w:cs="Times New Roman"/>
                <w:b w:val="0"/>
                <w:bCs/>
                <w:szCs w:val="24"/>
              </w:rPr>
              <w:t>:</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53:17:0051201 - </w:t>
            </w:r>
            <w:r>
              <w:rPr>
                <w:rFonts w:hint="default" w:ascii="Times New Roman" w:hAnsi="Times New Roman" w:cs="Times New Roman"/>
                <w:b w:val="0"/>
                <w:szCs w:val="24"/>
              </w:rPr>
              <w:t>Новгородская область, Старорусский район;</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Земли кадастрового квартала 53:17:0051405 -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r>
              <w:rPr>
                <w:rFonts w:hint="default" w:ascii="Times New Roman" w:hAnsi="Times New Roman" w:cs="Times New Roman"/>
                <w:szCs w:val="24"/>
              </w:rPr>
              <w:t>53:17:0000000:4194</w:t>
            </w: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szCs w:val="24"/>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szCs w:val="24"/>
              </w:rPr>
              <w:t>53:17:0051405:61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3</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 «</w:t>
            </w:r>
            <w:r>
              <w:rPr>
                <w:rFonts w:hint="default" w:ascii="Times New Roman" w:hAnsi="Times New Roman" w:cs="Times New Roman"/>
                <w:bCs/>
                <w:iCs/>
                <w:color w:val="000000"/>
                <w:szCs w:val="24"/>
              </w:rPr>
              <w:t>ВЛ-0,4кВ Л-3 КТП -1 "Пустошь"»</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1 024 кв. м.</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 Новгородская область, р-н Старорусский, СП «Наговское», д Пустошь;</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«Наговское», деревня Пустошь, улица Придорожная, земельный участок 10;</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 Новгородская область, р-н Старорусский, СП «Наговское», деревня Пустошь, улица Придорожная, земельный участок 1Д.</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53:17:0051102 - </w:t>
            </w:r>
            <w:r>
              <w:rPr>
                <w:rFonts w:hint="default" w:ascii="Times New Roman" w:hAnsi="Times New Roman" w:cs="Times New Roman"/>
                <w:b w:val="0"/>
                <w:szCs w:val="24"/>
              </w:rPr>
              <w:t>Новгородская область, Старорусский район;</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Земли кадастрового квартала 53:17:0051402 -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b w:val="0"/>
                <w:bCs/>
                <w:szCs w:val="24"/>
              </w:rPr>
            </w:pPr>
            <w:r>
              <w:rPr>
                <w:szCs w:val="24"/>
              </w:rPr>
              <w:t>53:17:0051102:99</w:t>
            </w:r>
          </w:p>
          <w:p>
            <w:pPr>
              <w:adjustRightInd w:val="0"/>
              <w:spacing w:after="0" w:line="240" w:lineRule="auto"/>
              <w:rPr>
                <w:b w:val="0"/>
                <w:bCs/>
                <w:szCs w:val="24"/>
              </w:rPr>
            </w:pPr>
          </w:p>
          <w:p>
            <w:pPr>
              <w:adjustRightInd w:val="0"/>
              <w:spacing w:after="0" w:line="240" w:lineRule="auto"/>
              <w:rPr>
                <w:rFonts w:hint="default"/>
                <w:szCs w:val="24"/>
                <w:lang w:val="ru-RU"/>
              </w:rPr>
            </w:pPr>
            <w:r>
              <w:rPr>
                <w:szCs w:val="24"/>
              </w:rPr>
              <w:t>53:17:0051402:15</w:t>
            </w:r>
            <w:r>
              <w:rPr>
                <w:rFonts w:hint="default"/>
                <w:szCs w:val="24"/>
                <w:lang w:val="ru-RU"/>
              </w:rPr>
              <w:t>0</w:t>
            </w:r>
          </w:p>
          <w:p>
            <w:pPr>
              <w:adjustRightInd w:val="0"/>
              <w:spacing w:after="0" w:line="240" w:lineRule="auto"/>
              <w:rPr>
                <w:rFonts w:hint="default"/>
                <w:szCs w:val="24"/>
                <w:lang w:val="ru-RU"/>
              </w:rPr>
            </w:pPr>
          </w:p>
          <w:p>
            <w:pPr>
              <w:adjustRightInd w:val="0"/>
              <w:spacing w:after="0" w:line="240" w:lineRule="auto"/>
              <w:rPr>
                <w:rFonts w:hint="default"/>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53:17:0051402:322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4</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ВЛИ-0,4 кВ Л-2 от СТП Старина-3»</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388 кв. м.</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«Великосельское», д Полуково.</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szCs w:val="24"/>
              </w:rPr>
              <w:t xml:space="preserve">Земли кадастрового квартала 53:17:0201908- </w:t>
            </w:r>
            <w:r>
              <w:rPr>
                <w:rFonts w:hint="default" w:ascii="Times New Roman" w:hAnsi="Times New Roman" w:cs="Times New Roman"/>
                <w:b w:val="0"/>
                <w:szCs w:val="24"/>
              </w:rPr>
              <w:t>Новгородская область, Старорусский район</w:t>
            </w: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 xml:space="preserve">53:17:0201908:165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5</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ВЛ-0,4кВ Л-3 КТП «Кондратово»</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372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53:17:0220801 -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szCs w:val="24"/>
              </w:rPr>
              <w:t xml:space="preserve">Земли кадастрового квартала 53:17:0221703 - </w:t>
            </w:r>
            <w:r>
              <w:rPr>
                <w:rFonts w:hint="default" w:ascii="Times New Roman" w:hAnsi="Times New Roman" w:cs="Times New Roman"/>
                <w:b w:val="0"/>
                <w:szCs w:val="24"/>
              </w:rPr>
              <w:t>Новгородская область, Старорусский район</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6</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ВЛИ-0,4 кВ Л-1 от СТП 40 кВА Медниково-10»</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208 кв. м.</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-Новгородская область, р-н Старорусский, СП «Медниковское», д Медниково; </w:t>
            </w:r>
          </w:p>
          <w:p>
            <w:pPr>
              <w:keepNext w:val="0"/>
              <w:keepLines w:val="0"/>
              <w:pageBreakBefore w:val="0"/>
              <w:kinsoku/>
              <w:wordWrap/>
              <w:overflowPunct/>
              <w:topLinePunct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Новгородская область, р-н Старорусский, СП «Медниковское», д Медниково;</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w:t>
            </w:r>
            <w:r>
              <w:rPr>
                <w:rFonts w:hint="default" w:ascii="Times New Roman" w:hAnsi="Times New Roman" w:cs="Times New Roman"/>
                <w:b w:val="0"/>
                <w:bCs/>
              </w:rPr>
              <w:t xml:space="preserve">Новгородская область, р-н Старорусский, </w:t>
            </w:r>
            <w:r>
              <w:rPr>
                <w:rFonts w:hint="default" w:ascii="Times New Roman" w:hAnsi="Times New Roman" w:cs="Times New Roman"/>
                <w:b w:val="0"/>
                <w:bCs/>
                <w:szCs w:val="24"/>
              </w:rPr>
              <w:t>СП «Медниковское»,</w:t>
            </w:r>
            <w:r>
              <w:rPr>
                <w:rFonts w:hint="default" w:ascii="Times New Roman" w:hAnsi="Times New Roman" w:cs="Times New Roman"/>
                <w:b w:val="0"/>
                <w:bCs/>
              </w:rPr>
              <w:t xml:space="preserve"> д Медниково</w:t>
            </w:r>
            <w:r>
              <w:rPr>
                <w:rFonts w:hint="default" w:ascii="Times New Roman" w:hAnsi="Times New Roman" w:cs="Times New Roman"/>
                <w:b w:val="0"/>
                <w:bCs/>
                <w:szCs w:val="24"/>
              </w:rPr>
              <w:t>.</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szCs w:val="24"/>
              </w:rPr>
              <w:t xml:space="preserve">Земли кадастрового квартала 53:17:0150704- </w:t>
            </w:r>
            <w:r>
              <w:rPr>
                <w:rFonts w:hint="default" w:ascii="Times New Roman" w:hAnsi="Times New Roman" w:cs="Times New Roman"/>
                <w:b w:val="0"/>
                <w:szCs w:val="24"/>
              </w:rPr>
              <w:t>Новгородская область, Старорусский район.</w:t>
            </w: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r>
              <w:rPr>
                <w:szCs w:val="24"/>
              </w:rPr>
              <w:t>53:17:0150704:11</w:t>
            </w:r>
          </w:p>
          <w:p>
            <w:pPr>
              <w:adjustRightInd w:val="0"/>
              <w:spacing w:after="0" w:line="240" w:lineRule="auto"/>
              <w:rPr>
                <w:szCs w:val="24"/>
              </w:rPr>
            </w:pPr>
          </w:p>
          <w:p>
            <w:pPr>
              <w:adjustRightInd w:val="0"/>
              <w:spacing w:after="0" w:line="240" w:lineRule="auto"/>
              <w:rPr>
                <w:szCs w:val="24"/>
              </w:rPr>
            </w:pPr>
            <w:r>
              <w:rPr>
                <w:szCs w:val="24"/>
              </w:rPr>
              <w:t>53:17:0150704:12</w:t>
            </w:r>
          </w:p>
          <w:p>
            <w:pPr>
              <w:adjustRightInd w:val="0"/>
              <w:spacing w:after="0" w:line="240" w:lineRule="auto"/>
              <w:rPr>
                <w:szCs w:val="24"/>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53:17:0150704:19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7</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 xml:space="preserve">ВЛИ-0,4 кВ Л-1 от КТП 2х160 кВА </w:t>
            </w: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ЖКХ»</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190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53:24:0070101-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8</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ВЛИ-0,4 кВ Л-2 от КТП 2х160 кВА "ЖКХ"»</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190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53:24:0070101-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9</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 «</w:t>
            </w:r>
            <w:r>
              <w:rPr>
                <w:rFonts w:hint="default" w:ascii="Times New Roman" w:hAnsi="Times New Roman" w:cs="Times New Roman"/>
                <w:bCs/>
                <w:iCs/>
                <w:color w:val="000000"/>
                <w:szCs w:val="24"/>
              </w:rPr>
              <w:t>ВЛИ-0,4 кВ Л-3 от КТП-1 Пустошь»</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190 кв. м.</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 Новгородская область, р-н Старорусский, СП «Наговское», деревня Пустошь, улица Придорожная, земельный участок 1Д.</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53:17:0051402-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53:17:0051402:322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10</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СТП-5  «Ивановское»  25кВА»</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21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 xml:space="preserve">Земли кадастрового квартала 53:17:0221709-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11</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СТП-4 «Утушкино» 100кВА»</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25 кв. м.</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«Ивановское».</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53:17:0221707-</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53:17:0221707:37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12</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СТП-3 «Гарижа» 40кВА»</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22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53:17:0221708-</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13</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 «</w:t>
            </w:r>
            <w:r>
              <w:rPr>
                <w:rFonts w:hint="default" w:ascii="Times New Roman" w:hAnsi="Times New Roman" w:cs="Times New Roman"/>
                <w:bCs/>
                <w:iCs/>
                <w:color w:val="000000"/>
                <w:szCs w:val="24"/>
              </w:rPr>
              <w:t>СТП-10/0,4 кВ-100 кВА Ивановское-6»</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31 кв. м.</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-Новгородская область, р-н Старорусский, СП «Ивановское»</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szCs w:val="24"/>
              </w:rPr>
              <w:t>Земли кадастрового квартала 53:17:0221709-</w:t>
            </w:r>
            <w:r>
              <w:rPr>
                <w:rFonts w:hint="default" w:ascii="Times New Roman" w:hAnsi="Times New Roman" w:cs="Times New Roman"/>
                <w:b w:val="0"/>
                <w:szCs w:val="24"/>
              </w:rPr>
              <w:t>Новгородская область, Старорусский район.</w:t>
            </w:r>
          </w:p>
        </w:tc>
        <w:tc>
          <w:tcPr>
            <w:tcW w:w="3603" w:type="dxa"/>
            <w:shd w:val="clear" w:color="auto" w:fill="auto"/>
          </w:tcPr>
          <w:p>
            <w:pPr>
              <w:adjustRightInd w:val="0"/>
              <w:spacing w:after="0" w:line="240" w:lineRule="auto"/>
              <w:rPr>
                <w:szCs w:val="24"/>
              </w:rPr>
            </w:pPr>
          </w:p>
          <w:p>
            <w:pPr>
              <w:adjustRightInd w:val="0"/>
              <w:spacing w:after="0" w:line="240" w:lineRule="auto"/>
              <w:rPr>
                <w:szCs w:val="24"/>
              </w:rPr>
            </w:pPr>
          </w:p>
          <w:p>
            <w:pPr>
              <w:adjustRightInd w:val="0"/>
              <w:spacing w:after="0" w:line="240" w:lineRule="auto"/>
              <w:rPr>
                <w:szCs w:val="24"/>
              </w:rPr>
            </w:pPr>
          </w:p>
          <w:p>
            <w:pPr>
              <w:adjustRightInd w:val="0"/>
              <w:spacing w:after="0" w:line="240" w:lineRule="auto"/>
              <w:rPr>
                <w:rFonts w:hint="default" w:ascii="Times New Roman" w:hAnsi="Times New Roman" w:cs="Times New Roman"/>
                <w:b w:val="0"/>
                <w:bCs/>
                <w:color w:val="000000"/>
                <w:sz w:val="24"/>
                <w:szCs w:val="24"/>
                <w:lang w:val="ru-RU"/>
              </w:rPr>
            </w:pPr>
            <w:r>
              <w:rPr>
                <w:szCs w:val="24"/>
              </w:rPr>
              <w:t>53:17:0221709:16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14</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w:t>
            </w:r>
            <w:r>
              <w:rPr>
                <w:rFonts w:hint="default" w:ascii="Times New Roman" w:hAnsi="Times New Roman" w:cs="Times New Roman"/>
                <w:bCs/>
                <w:iCs/>
                <w:color w:val="000000"/>
                <w:szCs w:val="24"/>
              </w:rPr>
              <w:t>СТП 25 кВА «АНО Жизнь"»</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bCs/>
                <w:szCs w:val="24"/>
              </w:rPr>
              <w:t>1</w:t>
            </w:r>
            <w:r>
              <w:rPr>
                <w:rFonts w:hint="default" w:ascii="Times New Roman" w:hAnsi="Times New Roman" w:cs="Times New Roman"/>
                <w:szCs w:val="24"/>
              </w:rPr>
              <w:t>4 кв. м.</w:t>
            </w:r>
          </w:p>
          <w:p>
            <w:pPr>
              <w:keepNext w:val="0"/>
              <w:keepLines w:val="0"/>
              <w:pageBreakBefore w:val="0"/>
              <w:kinsoku/>
              <w:wordWrap/>
              <w:overflowPunct/>
              <w:topLinePunct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Cs/>
                <w:szCs w:val="24"/>
              </w:rPr>
              <w:t xml:space="preserve">- </w:t>
            </w:r>
            <w:r>
              <w:rPr>
                <w:rFonts w:hint="default" w:ascii="Times New Roman" w:hAnsi="Times New Roman" w:cs="Times New Roman"/>
                <w:b w:val="0"/>
                <w:szCs w:val="24"/>
              </w:rPr>
              <w:t xml:space="preserve">Новгородская область, р-н Старорусский, ГП «Старая Русса», город Старая Русса, Город Старая Русса, Улица Строителей, Земельный участок 6В; </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53:24:0070101 -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bCs/>
                <w:szCs w:val="24"/>
              </w:rPr>
            </w:pPr>
          </w:p>
          <w:p>
            <w:pPr>
              <w:adjustRightInd w:val="0"/>
              <w:spacing w:after="0" w:line="240" w:lineRule="auto"/>
              <w:rPr>
                <w:bCs/>
                <w:szCs w:val="24"/>
              </w:rPr>
            </w:pPr>
          </w:p>
          <w:p>
            <w:pPr>
              <w:adjustRightInd w:val="0"/>
              <w:spacing w:after="0" w:line="240" w:lineRule="auto"/>
              <w:rPr>
                <w:bCs/>
                <w:szCs w:val="24"/>
              </w:rPr>
            </w:pPr>
          </w:p>
          <w:p>
            <w:pPr>
              <w:adjustRightInd w:val="0"/>
              <w:spacing w:after="0" w:line="240" w:lineRule="auto"/>
              <w:rPr>
                <w:rFonts w:hint="default" w:ascii="Times New Roman" w:hAnsi="Times New Roman" w:cs="Times New Roman"/>
                <w:b w:val="0"/>
                <w:bCs/>
                <w:color w:val="000000"/>
                <w:sz w:val="24"/>
                <w:szCs w:val="24"/>
                <w:lang w:val="ru-RU"/>
              </w:rPr>
            </w:pPr>
            <w:r>
              <w:rPr>
                <w:bCs/>
                <w:szCs w:val="24"/>
              </w:rPr>
              <w:t>53:24:0070101:325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15</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iCs/>
                <w:color w:val="000000"/>
                <w:szCs w:val="24"/>
              </w:rPr>
              <w:t>"КТП 2х160 кВА  "ЖКХ"</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43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szCs w:val="24"/>
              </w:rPr>
              <w:t>Земли кадастрового квартала 53:24:0070101 -</w:t>
            </w:r>
            <w:r>
              <w:rPr>
                <w:rFonts w:hint="default" w:ascii="Times New Roman" w:hAnsi="Times New Roman" w:cs="Times New Roman"/>
                <w:b w:val="0"/>
                <w:szCs w:val="24"/>
              </w:rPr>
              <w:t>Новгородская область, Старорусский район</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16</w:t>
            </w:r>
          </w:p>
        </w:tc>
        <w:tc>
          <w:tcPr>
            <w:tcW w:w="5471" w:type="dxa"/>
          </w:tcPr>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Cs/>
                <w:iCs/>
                <w:color w:val="000000"/>
                <w:szCs w:val="24"/>
              </w:rPr>
              <w:t>"СТП-63 кВА  "СК Русса"</w:t>
            </w:r>
          </w:p>
          <w:p>
            <w:pPr>
              <w:keepNext w:val="0"/>
              <w:keepLines w:val="0"/>
              <w:pageBreakBefore w:val="0"/>
              <w:widowControl w:val="0"/>
              <w:tabs>
                <w:tab w:val="left" w:pos="0"/>
              </w:tabs>
              <w:kinsoku/>
              <w:wordWrap/>
              <w:overflowPunct/>
              <w:topLinePunct w:val="0"/>
              <w:autoSpaceDE w:val="0"/>
              <w:bidi w:val="0"/>
              <w:snapToGrid/>
              <w:spacing w:line="180" w:lineRule="exact"/>
              <w:ind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 xml:space="preserve">Испрашиваемая площадь публичного сервитута – </w:t>
            </w:r>
            <w:r>
              <w:rPr>
                <w:rFonts w:hint="default" w:ascii="Times New Roman" w:hAnsi="Times New Roman" w:cs="Times New Roman"/>
                <w:szCs w:val="24"/>
              </w:rPr>
              <w:t>22 кв. м.</w:t>
            </w:r>
          </w:p>
          <w:p>
            <w:pPr>
              <w:pStyle w:val="9"/>
              <w:keepNext w:val="0"/>
              <w:keepLines w:val="0"/>
              <w:pageBreakBefore w:val="0"/>
              <w:widowControl w:val="0"/>
              <w:tabs>
                <w:tab w:val="left" w:pos="0"/>
              </w:tabs>
              <w:kinsoku/>
              <w:wordWrap/>
              <w:overflowPunct/>
              <w:topLinePunct w:val="0"/>
              <w:autoSpaceDE w:val="0"/>
              <w:bidi w:val="0"/>
              <w:snapToGrid/>
              <w:spacing w:line="180" w:lineRule="exact"/>
              <w:ind w:left="0" w:firstLine="567"/>
              <w:jc w:val="both"/>
              <w:textAlignment w:val="auto"/>
              <w:rPr>
                <w:rFonts w:hint="default" w:ascii="Times New Roman" w:hAnsi="Times New Roman" w:cs="Times New Roman"/>
                <w:b w:val="0"/>
                <w:bCs/>
                <w:szCs w:val="24"/>
              </w:rPr>
            </w:pPr>
            <w:r>
              <w:rPr>
                <w:rFonts w:hint="default" w:ascii="Times New Roman" w:hAnsi="Times New Roman" w:cs="Times New Roman"/>
                <w:b w:val="0"/>
                <w:bCs/>
                <w:szCs w:val="24"/>
              </w:rPr>
              <w:t>Публичный сервитут устанавливается в отношении земельных участков, расположенных в границах кадастровых кварталов:</w:t>
            </w:r>
          </w:p>
          <w:p>
            <w:pPr>
              <w:keepNext w:val="0"/>
              <w:keepLines w:val="0"/>
              <w:pageBreakBefore w:val="0"/>
              <w:widowControl w:val="0"/>
              <w:tabs>
                <w:tab w:val="left" w:pos="0"/>
              </w:tabs>
              <w:kinsoku/>
              <w:wordWrap/>
              <w:overflowPunct/>
              <w:topLinePunct w:val="0"/>
              <w:autoSpaceDE w:val="0"/>
              <w:bidi w:val="0"/>
              <w:snapToGrid/>
              <w:spacing w:line="180" w:lineRule="exact"/>
              <w:jc w:val="both"/>
              <w:textAlignment w:val="auto"/>
              <w:rPr>
                <w:rFonts w:hint="default" w:ascii="Times New Roman" w:hAnsi="Times New Roman" w:cs="Times New Roman"/>
                <w:b w:val="0"/>
                <w:szCs w:val="24"/>
              </w:rPr>
            </w:pPr>
            <w:r>
              <w:rPr>
                <w:rFonts w:hint="default" w:ascii="Times New Roman" w:hAnsi="Times New Roman" w:cs="Times New Roman"/>
                <w:b w:val="0"/>
                <w:bCs/>
                <w:szCs w:val="24"/>
              </w:rPr>
              <w:t>Земли кадастрового квартала 53:17:0172215 -</w:t>
            </w:r>
            <w:r>
              <w:rPr>
                <w:rFonts w:hint="default" w:ascii="Times New Roman" w:hAnsi="Times New Roman" w:cs="Times New Roman"/>
                <w:b w:val="0"/>
                <w:szCs w:val="24"/>
              </w:rPr>
              <w:t>Новгородская область, Старорусский район.</w:t>
            </w:r>
          </w:p>
          <w:p>
            <w:pPr>
              <w:keepNext w:val="0"/>
              <w:keepLines w:val="0"/>
              <w:pageBreakBefore w:val="0"/>
              <w:kinsoku/>
              <w:wordWrap/>
              <w:overflowPunct/>
              <w:topLinePunct w:val="0"/>
              <w:autoSpaceDE w:val="0"/>
              <w:autoSpaceDN w:val="0"/>
              <w:bidi w:val="0"/>
              <w:adjustRightInd w:val="0"/>
              <w:snapToGrid/>
              <w:spacing w:after="0" w:line="180" w:lineRule="exact"/>
              <w:jc w:val="both"/>
              <w:textAlignment w:val="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175200, Новгородская область, Старорусский район, г.Старая Русса, Советская наб., д.1, каб.14, время приема: с 8-30-17-30, обеденный перерыв с 13-00-14-00, в течении </w:t>
      </w:r>
      <w:r>
        <w:rPr>
          <w:rFonts w:hint="default" w:ascii="Times New Roman" w:hAnsi="Times New Roman" w:cs="Times New Roman"/>
          <w:b w:val="0"/>
          <w:bCs/>
          <w:sz w:val="24"/>
          <w:szCs w:val="24"/>
          <w:lang w:val="ru-RU"/>
        </w:rPr>
        <w:t>15</w:t>
      </w:r>
      <w:r>
        <w:rPr>
          <w:rFonts w:hint="default" w:ascii="Times New Roman" w:hAnsi="Times New Roman" w:cs="Times New Roman"/>
          <w:b w:val="0"/>
          <w:bCs/>
          <w:sz w:val="24"/>
          <w:szCs w:val="24"/>
        </w:rPr>
        <w:t xml:space="preserve">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4"/>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4"/>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4"/>
          <w:rFonts w:hint="default" w:ascii="Times New Roman" w:hAnsi="Times New Roman" w:cs="Times New Roman"/>
          <w:b w:val="0"/>
          <w:bCs/>
          <w:sz w:val="24"/>
          <w:szCs w:val="24"/>
          <w:lang w:val="en-US" w:eastAsia="zh-CN"/>
        </w:rPr>
        <w:t>admrussa</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gosuslugi.ru</w:t>
      </w:r>
      <w:r>
        <w:rPr>
          <w:rFonts w:hint="default" w:ascii="Times New Roman" w:hAnsi="Times New Roman" w:cs="Times New Roman"/>
          <w:b w:val="0"/>
          <w:bCs/>
          <w:sz w:val="24"/>
          <w:szCs w:val="24"/>
          <w:lang w:eastAsia="zh-CN"/>
        </w:rPr>
        <w:fldChar w:fldCharType="end"/>
      </w:r>
      <w:r>
        <w:rPr>
          <w:rStyle w:val="4"/>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4"/>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bookmarkStart w:id="0" w:name="_GoBack"/>
      <w:bookmarkEnd w:id="0"/>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0B1B07C9"/>
    <w:rsid w:val="11953A5A"/>
    <w:rsid w:val="1883369B"/>
    <w:rsid w:val="2B73586C"/>
    <w:rsid w:val="31C92E21"/>
    <w:rsid w:val="338C0198"/>
    <w:rsid w:val="37FD30B2"/>
    <w:rsid w:val="5E304824"/>
    <w:rsid w:val="67603EA9"/>
    <w:rsid w:val="677C1857"/>
    <w:rsid w:val="6C512972"/>
    <w:rsid w:val="6D035DA9"/>
    <w:rsid w:val="725F5461"/>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0</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2024-01-30T13:23:35Z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4FBF6755656B4EA69E95A640B8BA7343</vt:lpwstr>
  </property>
</Properties>
</file>