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E0" w:rsidRPr="007424C9" w:rsidRDefault="005F4AE0" w:rsidP="006C6CE3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1524000" cy="942975"/>
            <wp:effectExtent l="0" t="0" r="0" b="9525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1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E0" w:rsidRPr="008F6B4B" w:rsidRDefault="005F4AE0" w:rsidP="006C6CE3">
      <w:pPr>
        <w:spacing w:line="192" w:lineRule="auto"/>
        <w:jc w:val="center"/>
        <w:rPr>
          <w:b/>
        </w:rPr>
      </w:pPr>
      <w:r w:rsidRPr="008F6B4B">
        <w:rPr>
          <w:b/>
        </w:rPr>
        <w:t>Российская Федерация</w:t>
      </w:r>
    </w:p>
    <w:p w:rsidR="005F4AE0" w:rsidRPr="008F6B4B" w:rsidRDefault="005F4AE0" w:rsidP="006C6CE3">
      <w:pPr>
        <w:spacing w:line="192" w:lineRule="auto"/>
        <w:jc w:val="center"/>
        <w:rPr>
          <w:b/>
        </w:rPr>
      </w:pPr>
      <w:r w:rsidRPr="008F6B4B">
        <w:rPr>
          <w:b/>
        </w:rPr>
        <w:t>Новгородская область</w:t>
      </w:r>
    </w:p>
    <w:p w:rsidR="005F4AE0" w:rsidRPr="007424C9" w:rsidRDefault="005F4AE0" w:rsidP="006C6CE3">
      <w:pPr>
        <w:jc w:val="center"/>
        <w:rPr>
          <w:b/>
          <w:sz w:val="28"/>
          <w:szCs w:val="28"/>
        </w:rPr>
      </w:pPr>
      <w:r w:rsidRPr="007424C9">
        <w:rPr>
          <w:b/>
          <w:sz w:val="28"/>
          <w:szCs w:val="28"/>
        </w:rPr>
        <w:t>ДУМА СТАРОРУССКОГО МУНИЦИПАЛЬНОГО РАЙОНА</w:t>
      </w:r>
    </w:p>
    <w:p w:rsidR="005F4AE0" w:rsidRPr="00BF1F0D" w:rsidRDefault="005F4AE0" w:rsidP="005F4AE0">
      <w:pPr>
        <w:spacing w:before="480" w:after="480"/>
        <w:jc w:val="center"/>
        <w:rPr>
          <w:b/>
          <w:sz w:val="28"/>
          <w:szCs w:val="28"/>
        </w:rPr>
      </w:pPr>
      <w:r w:rsidRPr="007424C9">
        <w:rPr>
          <w:spacing w:val="146"/>
          <w:sz w:val="40"/>
        </w:rPr>
        <w:t>РЕШЕНИЕ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7852E1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E1" w:rsidRPr="005F4AE0" w:rsidRDefault="005F4AE0" w:rsidP="005F4AE0">
            <w:pPr>
              <w:pStyle w:val="Textbody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изменения в решение Думы Старорусского муниципального района от 26.03.2021№ </w:t>
            </w:r>
            <w:r w:rsidRPr="005F4AE0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0</w:t>
            </w:r>
          </w:p>
        </w:tc>
      </w:tr>
    </w:tbl>
    <w:p w:rsidR="005F4AE0" w:rsidRPr="007424C9" w:rsidRDefault="005F4AE0" w:rsidP="005F4AE0">
      <w:pPr>
        <w:spacing w:before="360" w:after="360"/>
        <w:ind w:firstLine="709"/>
        <w:jc w:val="center"/>
        <w:rPr>
          <w:sz w:val="28"/>
          <w:szCs w:val="28"/>
        </w:rPr>
      </w:pPr>
      <w:r w:rsidRPr="007424C9">
        <w:rPr>
          <w:sz w:val="28"/>
          <w:szCs w:val="28"/>
        </w:rPr>
        <w:t xml:space="preserve">принято Думой Старорусского муниципального района </w:t>
      </w:r>
      <w:r>
        <w:rPr>
          <w:sz w:val="28"/>
          <w:szCs w:val="28"/>
        </w:rPr>
        <w:t>27.12.2021</w:t>
      </w:r>
    </w:p>
    <w:p w:rsidR="005F4AE0" w:rsidRDefault="005F4AE0" w:rsidP="005F4AE0">
      <w:pPr>
        <w:autoSpaceDE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C4EF8">
        <w:rPr>
          <w:sz w:val="28"/>
          <w:szCs w:val="28"/>
        </w:rPr>
        <w:t>Дума Старорусского муниципального района</w:t>
      </w:r>
      <w:r>
        <w:rPr>
          <w:sz w:val="28"/>
          <w:szCs w:val="28"/>
        </w:rPr>
        <w:t xml:space="preserve"> </w:t>
      </w:r>
    </w:p>
    <w:p w:rsidR="005F4AE0" w:rsidRPr="00AC4EF8" w:rsidRDefault="005F4AE0" w:rsidP="005F4AE0">
      <w:pPr>
        <w:autoSpaceDE w:val="0"/>
        <w:adjustRightInd w:val="0"/>
        <w:spacing w:line="340" w:lineRule="exact"/>
        <w:jc w:val="both"/>
        <w:rPr>
          <w:b/>
          <w:sz w:val="28"/>
          <w:szCs w:val="28"/>
        </w:rPr>
      </w:pPr>
      <w:r w:rsidRPr="00AC4EF8">
        <w:rPr>
          <w:b/>
          <w:sz w:val="28"/>
          <w:szCs w:val="28"/>
        </w:rPr>
        <w:t>РЕШИЛА:</w:t>
      </w:r>
    </w:p>
    <w:p w:rsidR="007852E1" w:rsidRDefault="005F4AE0" w:rsidP="005F4AE0">
      <w:pPr>
        <w:spacing w:line="3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изменение в решение Думы Старорусского муниципального от 26.03.2021 № 20 «О Порядке проведения конкурсного отбора </w:t>
      </w:r>
      <w:proofErr w:type="gramStart"/>
      <w:r>
        <w:rPr>
          <w:rFonts w:cs="Times New Roman"/>
          <w:sz w:val="28"/>
          <w:szCs w:val="28"/>
        </w:rPr>
        <w:t>инициатив-</w:t>
      </w:r>
      <w:proofErr w:type="spellStart"/>
      <w:r>
        <w:rPr>
          <w:rFonts w:cs="Times New Roman"/>
          <w:sz w:val="28"/>
          <w:szCs w:val="28"/>
        </w:rPr>
        <w:t>ных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проектов для реализации на территории, части территории Старорусского муниципального района», изложив Приложение к Порядку проведения конкурсного отбора инициативных проектов для реализации на территории, части территории Старорусского муниципального района в  прилагаемой редакции.</w:t>
      </w:r>
    </w:p>
    <w:p w:rsidR="005F4AE0" w:rsidRDefault="005F4AE0" w:rsidP="005F4AE0">
      <w:pPr>
        <w:tabs>
          <w:tab w:val="left" w:pos="709"/>
        </w:tabs>
        <w:spacing w:after="720" w:line="340" w:lineRule="exact"/>
        <w:ind w:firstLine="709"/>
        <w:jc w:val="both"/>
        <w:rPr>
          <w:rFonts w:ascii="Arial" w:eastAsia="Arial" w:hAnsi="Arial" w:cs="Arial"/>
          <w:kern w:val="1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</w:t>
      </w:r>
      <w:proofErr w:type="spellStart"/>
      <w:proofErr w:type="gramStart"/>
      <w:r>
        <w:rPr>
          <w:sz w:val="28"/>
          <w:szCs w:val="28"/>
        </w:rPr>
        <w:t>изда-нии</w:t>
      </w:r>
      <w:proofErr w:type="spellEnd"/>
      <w:proofErr w:type="gramEnd"/>
      <w:r>
        <w:rPr>
          <w:sz w:val="28"/>
          <w:szCs w:val="28"/>
        </w:rPr>
        <w:t xml:space="preserve"> – муниципальной газете «Русса-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»  Старорусского </w:t>
      </w:r>
      <w:proofErr w:type="spellStart"/>
      <w:r>
        <w:rPr>
          <w:sz w:val="28"/>
          <w:szCs w:val="28"/>
        </w:rPr>
        <w:t>муниципаль-ного</w:t>
      </w:r>
      <w:proofErr w:type="spellEnd"/>
      <w:r>
        <w:rPr>
          <w:sz w:val="28"/>
          <w:szCs w:val="28"/>
        </w:rPr>
        <w:t xml:space="preserve"> района и на официальном сайте Думы Старорусского муниципального района в информационно - 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dumarussa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732"/>
      </w:tblGrid>
      <w:tr w:rsidR="005F4AE0" w:rsidRPr="005635CB" w:rsidTr="006C6CE3">
        <w:trPr>
          <w:trHeight w:val="1674"/>
        </w:trPr>
        <w:tc>
          <w:tcPr>
            <w:tcW w:w="4928" w:type="dxa"/>
          </w:tcPr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Заместитель </w:t>
            </w: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>Председател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я</w:t>
            </w: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Думы</w:t>
            </w:r>
          </w:p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>Старорусского муниципального</w:t>
            </w:r>
          </w:p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>района</w:t>
            </w:r>
          </w:p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5F4AE0" w:rsidRPr="005635CB" w:rsidRDefault="005F4AE0" w:rsidP="006C6CE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                                 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 С.В. Колесова </w:t>
            </w:r>
          </w:p>
        </w:tc>
        <w:tc>
          <w:tcPr>
            <w:tcW w:w="4819" w:type="dxa"/>
            <w:hideMark/>
          </w:tcPr>
          <w:p w:rsidR="005F4AE0" w:rsidRPr="005635CB" w:rsidRDefault="005F4AE0" w:rsidP="006C6CE3">
            <w:pPr>
              <w:spacing w:line="240" w:lineRule="exac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Глава </w:t>
            </w:r>
            <w:proofErr w:type="gramStart"/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>Старорусского</w:t>
            </w:r>
            <w:proofErr w:type="gramEnd"/>
          </w:p>
          <w:p w:rsidR="005F4AE0" w:rsidRPr="005635CB" w:rsidRDefault="005F4AE0" w:rsidP="006C6CE3">
            <w:pPr>
              <w:spacing w:line="240" w:lineRule="exac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>муниципального района</w:t>
            </w:r>
          </w:p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5F4AE0" w:rsidRPr="005635CB" w:rsidRDefault="005F4AE0" w:rsidP="006C6CE3">
            <w:pPr>
              <w:spacing w:line="240" w:lineRule="exact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                                   А.Р. </w:t>
            </w:r>
            <w:proofErr w:type="spellStart"/>
            <w:r w:rsidRPr="005635CB">
              <w:rPr>
                <w:b/>
                <w:bCs/>
                <w:kern w:val="2"/>
                <w:sz w:val="28"/>
                <w:szCs w:val="28"/>
                <w:lang w:eastAsia="ar-SA"/>
              </w:rPr>
              <w:t>Розбаум</w:t>
            </w:r>
            <w:proofErr w:type="spellEnd"/>
          </w:p>
        </w:tc>
      </w:tr>
    </w:tbl>
    <w:p w:rsidR="005F4AE0" w:rsidRDefault="005F4AE0" w:rsidP="005F4AE0">
      <w:pPr>
        <w:jc w:val="both"/>
        <w:rPr>
          <w:b/>
          <w:sz w:val="28"/>
          <w:szCs w:val="28"/>
        </w:rPr>
      </w:pPr>
      <w:r w:rsidRPr="00437925">
        <w:rPr>
          <w:b/>
          <w:sz w:val="28"/>
          <w:szCs w:val="28"/>
        </w:rPr>
        <w:tab/>
      </w:r>
      <w:r w:rsidRPr="00437925">
        <w:rPr>
          <w:b/>
          <w:sz w:val="28"/>
          <w:szCs w:val="28"/>
        </w:rPr>
        <w:tab/>
      </w:r>
      <w:r w:rsidRPr="00437925">
        <w:rPr>
          <w:b/>
          <w:sz w:val="28"/>
          <w:szCs w:val="28"/>
        </w:rPr>
        <w:tab/>
      </w:r>
      <w:r w:rsidRPr="00437925">
        <w:rPr>
          <w:b/>
          <w:sz w:val="28"/>
          <w:szCs w:val="28"/>
        </w:rPr>
        <w:tab/>
      </w:r>
      <w:r w:rsidRPr="00437925">
        <w:rPr>
          <w:b/>
          <w:sz w:val="28"/>
          <w:szCs w:val="28"/>
        </w:rPr>
        <w:tab/>
      </w:r>
      <w:r w:rsidRPr="00437925">
        <w:rPr>
          <w:b/>
          <w:sz w:val="28"/>
          <w:szCs w:val="28"/>
        </w:rPr>
        <w:tab/>
      </w:r>
    </w:p>
    <w:p w:rsidR="005F4AE0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</w:p>
    <w:p w:rsidR="005F4AE0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</w:p>
    <w:p w:rsidR="005F4AE0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</w:p>
    <w:p w:rsidR="005F4AE0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</w:p>
    <w:p w:rsidR="005F4AE0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</w:p>
    <w:p w:rsidR="005F4AE0" w:rsidRDefault="005F4AE0" w:rsidP="005F4AE0">
      <w:pPr>
        <w:spacing w:line="240" w:lineRule="exact"/>
        <w:jc w:val="both"/>
        <w:rPr>
          <w:sz w:val="28"/>
          <w:szCs w:val="28"/>
        </w:rPr>
      </w:pPr>
    </w:p>
    <w:p w:rsidR="005F4AE0" w:rsidRDefault="005F4AE0" w:rsidP="005F4AE0">
      <w:pPr>
        <w:spacing w:line="240" w:lineRule="exact"/>
        <w:jc w:val="both"/>
        <w:rPr>
          <w:sz w:val="28"/>
          <w:szCs w:val="28"/>
        </w:rPr>
      </w:pPr>
    </w:p>
    <w:p w:rsidR="005F4AE0" w:rsidRPr="005635CB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27.12</w:t>
      </w:r>
      <w:r w:rsidRPr="005635CB">
        <w:rPr>
          <w:sz w:val="28"/>
          <w:szCs w:val="28"/>
        </w:rPr>
        <w:t>.2021</w:t>
      </w:r>
    </w:p>
    <w:p w:rsidR="005F4AE0" w:rsidRPr="005635CB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  <w:r w:rsidRPr="005635CB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</w:p>
    <w:p w:rsidR="005F4AE0" w:rsidRDefault="005F4AE0" w:rsidP="005F4AE0">
      <w:pPr>
        <w:spacing w:line="240" w:lineRule="exact"/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г. Старая Русса</w:t>
      </w:r>
    </w:p>
    <w:p w:rsidR="005F4AE0" w:rsidRPr="00644403" w:rsidRDefault="005F4AE0" w:rsidP="005F4AE0">
      <w:pPr>
        <w:ind w:firstLine="709"/>
        <w:jc w:val="both"/>
        <w:rPr>
          <w:szCs w:val="28"/>
        </w:rPr>
      </w:pPr>
    </w:p>
    <w:p w:rsidR="007852E1" w:rsidRDefault="005F4AE0" w:rsidP="005F4AE0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852E1" w:rsidRDefault="005F4AE0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конкурсного отбора инициативных проектов для реализации на территории, части территории Старорусского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7852E1" w:rsidRDefault="007852E1">
      <w:pPr>
        <w:rPr>
          <w:sz w:val="28"/>
          <w:szCs w:val="28"/>
        </w:rPr>
      </w:pPr>
    </w:p>
    <w:p w:rsidR="007852E1" w:rsidRPr="005F4AE0" w:rsidRDefault="005F4AE0">
      <w:pPr>
        <w:jc w:val="center"/>
        <w:rPr>
          <w:b/>
          <w:sz w:val="28"/>
          <w:szCs w:val="28"/>
        </w:rPr>
      </w:pPr>
      <w:r w:rsidRPr="005F4AE0">
        <w:rPr>
          <w:b/>
          <w:sz w:val="28"/>
          <w:szCs w:val="28"/>
        </w:rPr>
        <w:t>КРИТЕРИИ ОЦЕНКИ</w:t>
      </w:r>
    </w:p>
    <w:p w:rsidR="007852E1" w:rsidRPr="005F4AE0" w:rsidRDefault="005F4AE0">
      <w:pPr>
        <w:jc w:val="center"/>
        <w:rPr>
          <w:b/>
          <w:sz w:val="28"/>
          <w:szCs w:val="28"/>
        </w:rPr>
      </w:pPr>
      <w:r w:rsidRPr="005F4AE0">
        <w:rPr>
          <w:b/>
          <w:sz w:val="28"/>
          <w:szCs w:val="28"/>
        </w:rPr>
        <w:t>инициативных проектов, представленных для конкурсного отбора</w:t>
      </w:r>
    </w:p>
    <w:p w:rsidR="007852E1" w:rsidRDefault="007852E1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5150"/>
        <w:gridCol w:w="2077"/>
        <w:gridCol w:w="1499"/>
      </w:tblGrid>
      <w:tr w:rsidR="007852E1">
        <w:tc>
          <w:tcPr>
            <w:tcW w:w="560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852E1" w:rsidRDefault="005F4AE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150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Наименования критериев</w:t>
            </w:r>
          </w:p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конкурсного отбора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Значения</w:t>
            </w:r>
          </w:p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критериев</w:t>
            </w:r>
          </w:p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конкурсного</w:t>
            </w:r>
          </w:p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отбора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  <w:tr w:rsidR="007852E1">
        <w:tc>
          <w:tcPr>
            <w:tcW w:w="560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0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52E1">
        <w:tc>
          <w:tcPr>
            <w:tcW w:w="9286" w:type="dxa"/>
            <w:gridSpan w:val="4"/>
          </w:tcPr>
          <w:p w:rsidR="007852E1" w:rsidRDefault="005F4AE0">
            <w:pPr>
              <w:jc w:val="center"/>
            </w:pPr>
            <w:r>
              <w:t>1.Социальная и экономическая эффективность реализации проекта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1.1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в общей численности населения населенного пункта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более 60 %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40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30 до 60 %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20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менее 30 %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1.2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>«Долговечность» результатов проекта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более 5 лет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1 года до 5 лет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менее 1 года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5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1.3.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Возможность содержания и эксплуатации объекта, возведенного в результате реализации инициати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проекта, за счет средств местного бюджета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 xml:space="preserve">содержание и эксплуатация объекта </w:t>
            </w:r>
            <w:proofErr w:type="gramStart"/>
            <w:r>
              <w:t>возможны</w:t>
            </w:r>
            <w:proofErr w:type="gramEnd"/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 xml:space="preserve">содержание и эксплуатация объекта </w:t>
            </w:r>
            <w:proofErr w:type="gramStart"/>
            <w:r>
              <w:t>невозможны</w:t>
            </w:r>
            <w:proofErr w:type="gramEnd"/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1.4.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Доступность проекта для всех групп населения, в том числе для людей с инвалидностью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 xml:space="preserve">наличие положительного заключения эксперта по созданию и обеспечению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людей с инвалидностью и маломобильных групп населения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Отсутствие</w:t>
            </w:r>
          </w:p>
          <w:p w:rsidR="007852E1" w:rsidRDefault="005F4AE0">
            <w:pPr>
              <w:jc w:val="center"/>
            </w:pPr>
            <w:r>
              <w:t xml:space="preserve">положительного заключения эксперта по созданию и обеспечению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людей с инвалидностью и маломобильных групп населения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9286" w:type="dxa"/>
            <w:gridSpan w:val="4"/>
          </w:tcPr>
          <w:p w:rsidR="007852E1" w:rsidRPr="005F4AE0" w:rsidRDefault="005F4AE0" w:rsidP="005F4A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AE0">
              <w:rPr>
                <w:rFonts w:ascii="Times New Roman" w:hAnsi="Times New Roman" w:cs="Times New Roman"/>
                <w:sz w:val="24"/>
                <w:szCs w:val="24"/>
              </w:rPr>
              <w:t>2.Степень участия населения муниципального образования в определении и решении проблемы, заявленной в инициативном проекте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2.1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Участие населения в определении проблемы, на решение которой направлен инициативный </w:t>
            </w:r>
            <w:r>
              <w:lastRenderedPageBreak/>
              <w:t>проект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нет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lastRenderedPageBreak/>
              <w:t>2.2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да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3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нет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2.3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>Информирование населения в процессе отбора приоритетной проблемы и разработки иници</w:t>
            </w:r>
            <w:r>
              <w:t>а</w:t>
            </w:r>
            <w:r>
              <w:t>тивного проекта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да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2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нет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9286" w:type="dxa"/>
            <w:gridSpan w:val="4"/>
          </w:tcPr>
          <w:p w:rsidR="007852E1" w:rsidRDefault="005F4AE0" w:rsidP="005F4AE0">
            <w:pPr>
              <w:suppressAutoHyphens w:val="0"/>
              <w:jc w:val="both"/>
            </w:pPr>
            <w:r>
              <w:t>3.Влияние проекта на качество жизни населения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3.1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>Актуальность (острота) проблемы, которую позволит решить реализация проекта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  <w:rPr>
                <w:lang w:val="en-US"/>
              </w:rPr>
            </w:pPr>
            <w:r>
              <w:t>средняя</w:t>
            </w:r>
            <w:r>
              <w:rPr>
                <w:lang w:val="en-US"/>
              </w:rPr>
              <w:t>*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  <w:rPr>
                <w:lang w:val="en-US"/>
              </w:rPr>
            </w:pPr>
            <w:r>
              <w:t>высокая</w:t>
            </w:r>
            <w:r>
              <w:rPr>
                <w:lang w:val="en-US"/>
              </w:rPr>
              <w:t>**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  <w:rPr>
                <w:lang w:val="en-US"/>
              </w:rPr>
            </w:pPr>
            <w:r>
              <w:t>очень высокая</w:t>
            </w:r>
            <w:r>
              <w:rPr>
                <w:lang w:val="en-US"/>
              </w:rPr>
              <w:t>***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852E1">
        <w:tc>
          <w:tcPr>
            <w:tcW w:w="9286" w:type="dxa"/>
            <w:gridSpan w:val="4"/>
          </w:tcPr>
          <w:p w:rsidR="007852E1" w:rsidRDefault="005F4AE0" w:rsidP="005F4AE0">
            <w:pPr>
              <w:suppressAutoHyphens w:val="0"/>
              <w:jc w:val="both"/>
            </w:pPr>
            <w:r>
              <w:t>4.Влияние проекта на состояние окружающей среды и здоровье населения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4.1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>Наличие в проекте мероприятий по уменьш</w:t>
            </w:r>
            <w:r>
              <w:t>е</w:t>
            </w:r>
            <w:r>
              <w:t>нию негативного воздействия на состояние окружающей среды и здоровье населения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нет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предусмотрено обустройство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предусмотрены мероприятия, связанные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15</w:t>
            </w:r>
          </w:p>
        </w:tc>
      </w:tr>
      <w:tr w:rsidR="007852E1">
        <w:tc>
          <w:tcPr>
            <w:tcW w:w="9286" w:type="dxa"/>
            <w:gridSpan w:val="4"/>
          </w:tcPr>
          <w:p w:rsidR="007852E1" w:rsidRDefault="005F4AE0" w:rsidP="005F4AE0">
            <w:pPr>
              <w:suppressAutoHyphens w:val="0"/>
              <w:jc w:val="both"/>
            </w:pPr>
            <w:r>
              <w:t>5.Вклад участников проекта в его реализацию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5.1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Необходимый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</w:t>
            </w:r>
            <w:r>
              <w:t>о</w:t>
            </w:r>
            <w:r>
              <w:t>екта из бюджета муниципального образования города Старая Русса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5 % и более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3 % до 5 %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менее 3 %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10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5.2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населения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1 % и более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3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0,5 % до 1 %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2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менее 0,5 %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5.3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организаций и других внебюджетных источн</w:t>
            </w:r>
            <w:r>
              <w:t>и</w:t>
            </w:r>
            <w:r>
              <w:t>ков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1 % и более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от 0,5 % до 1 %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3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менее 0,5 %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5.4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Вклад населения в реализацию проекта в </w:t>
            </w:r>
            <w:proofErr w:type="spellStart"/>
            <w:r>
              <w:t>нед</w:t>
            </w:r>
            <w:r>
              <w:t>е</w:t>
            </w:r>
            <w:r>
              <w:t>нежной</w:t>
            </w:r>
            <w:proofErr w:type="spellEnd"/>
            <w:r>
              <w:t xml:space="preserve"> форме (трудовое участие, материалы и другие формы)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предусмотрено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 w:rsidP="005F4AE0">
            <w:pPr>
              <w:suppressAutoHyphens w:val="0"/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не предусмотрено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  <w:tr w:rsidR="007852E1">
        <w:tc>
          <w:tcPr>
            <w:tcW w:w="560" w:type="dxa"/>
            <w:vMerge w:val="restart"/>
          </w:tcPr>
          <w:p w:rsidR="007852E1" w:rsidRDefault="005F4AE0">
            <w:pPr>
              <w:jc w:val="both"/>
            </w:pPr>
            <w:r>
              <w:t>5.5</w:t>
            </w:r>
          </w:p>
        </w:tc>
        <w:tc>
          <w:tcPr>
            <w:tcW w:w="5150" w:type="dxa"/>
            <w:vMerge w:val="restart"/>
          </w:tcPr>
          <w:p w:rsidR="007852E1" w:rsidRDefault="005F4AE0" w:rsidP="005F4AE0">
            <w:pPr>
              <w:suppressAutoHyphens w:val="0"/>
              <w:jc w:val="both"/>
            </w:pPr>
            <w:r>
              <w:t xml:space="preserve">Вклад организаций и других внебюджетных источников в реализацию проекта в </w:t>
            </w:r>
            <w:proofErr w:type="spellStart"/>
            <w:r>
              <w:t>недене</w:t>
            </w:r>
            <w:r>
              <w:t>ж</w:t>
            </w:r>
            <w:r>
              <w:t>ной</w:t>
            </w:r>
            <w:proofErr w:type="spellEnd"/>
            <w:r>
              <w:t xml:space="preserve"> форме (трудовое участие, материалы и др</w:t>
            </w:r>
            <w:r>
              <w:t>у</w:t>
            </w:r>
            <w:r>
              <w:lastRenderedPageBreak/>
              <w:t>гие формы)</w:t>
            </w: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lastRenderedPageBreak/>
              <w:t>предусмотрено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5</w:t>
            </w:r>
          </w:p>
        </w:tc>
      </w:tr>
      <w:tr w:rsidR="007852E1">
        <w:tc>
          <w:tcPr>
            <w:tcW w:w="56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5150" w:type="dxa"/>
            <w:vMerge/>
          </w:tcPr>
          <w:p w:rsidR="007852E1" w:rsidRDefault="007852E1">
            <w:pPr>
              <w:jc w:val="both"/>
            </w:pPr>
          </w:p>
        </w:tc>
        <w:tc>
          <w:tcPr>
            <w:tcW w:w="2077" w:type="dxa"/>
          </w:tcPr>
          <w:p w:rsidR="007852E1" w:rsidRDefault="005F4AE0">
            <w:pPr>
              <w:jc w:val="center"/>
            </w:pPr>
            <w:r>
              <w:t>не предусмотрено</w:t>
            </w:r>
          </w:p>
        </w:tc>
        <w:tc>
          <w:tcPr>
            <w:tcW w:w="1499" w:type="dxa"/>
          </w:tcPr>
          <w:p w:rsidR="007852E1" w:rsidRDefault="005F4AE0">
            <w:pPr>
              <w:jc w:val="center"/>
            </w:pPr>
            <w:r>
              <w:t>0</w:t>
            </w:r>
          </w:p>
        </w:tc>
      </w:tr>
    </w:tbl>
    <w:p w:rsidR="007852E1" w:rsidRDefault="007852E1">
      <w:pPr>
        <w:jc w:val="both"/>
        <w:rPr>
          <w:sz w:val="16"/>
          <w:szCs w:val="16"/>
        </w:rPr>
      </w:pPr>
    </w:p>
    <w:p w:rsidR="007852E1" w:rsidRDefault="005F4AE0">
      <w:pPr>
        <w:ind w:firstLine="709"/>
        <w:jc w:val="both"/>
      </w:pPr>
      <w:r>
        <w:t>* средняя – проблема достаточно широко осознается целевой группой населения, ее решение может привести к улучшению качества жизни;</w:t>
      </w:r>
    </w:p>
    <w:p w:rsidR="007852E1" w:rsidRDefault="005F4AE0">
      <w:pPr>
        <w:ind w:firstLine="709"/>
        <w:jc w:val="both"/>
      </w:pPr>
      <w:r>
        <w:t>** высокая – отсутствие решения будет негативно сказываться на качестве жизни населения;</w:t>
      </w:r>
    </w:p>
    <w:p w:rsidR="007852E1" w:rsidRDefault="005F4AE0">
      <w:pPr>
        <w:ind w:firstLine="709"/>
        <w:jc w:val="both"/>
      </w:pPr>
      <w:r>
        <w:t xml:space="preserve">*** очень </w:t>
      </w:r>
      <w:proofErr w:type="gramStart"/>
      <w:r>
        <w:t>высокая</w:t>
      </w:r>
      <w:proofErr w:type="gramEnd"/>
      <w:r>
        <w:t xml:space="preserve"> – решение проблемы необходимо для поддержания и сохранения условий жизнеобеспечения населения.</w:t>
      </w:r>
    </w:p>
    <w:p w:rsidR="007852E1" w:rsidRDefault="007852E1">
      <w:pPr>
        <w:pStyle w:val="Textbody"/>
      </w:pPr>
    </w:p>
    <w:p w:rsidR="007852E1" w:rsidRDefault="005F4AE0" w:rsidP="005F4AE0">
      <w:pPr>
        <w:pStyle w:val="Textbody"/>
        <w:ind w:firstLine="7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</w:t>
      </w:r>
    </w:p>
    <w:sectPr w:rsidR="007852E1" w:rsidSect="005F4AE0">
      <w:pgSz w:w="11906" w:h="16838"/>
      <w:pgMar w:top="567" w:right="567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831A1"/>
    <w:rsid w:val="001831A1"/>
    <w:rsid w:val="00581213"/>
    <w:rsid w:val="005F4AE0"/>
    <w:rsid w:val="007852E1"/>
    <w:rsid w:val="00B80341"/>
    <w:rsid w:val="00E025D8"/>
    <w:rsid w:val="10056179"/>
    <w:rsid w:val="15C275C7"/>
    <w:rsid w:val="17E45F77"/>
    <w:rsid w:val="1CF97051"/>
    <w:rsid w:val="1D2A70E9"/>
    <w:rsid w:val="240344DB"/>
    <w:rsid w:val="376D296B"/>
    <w:rsid w:val="41A71653"/>
    <w:rsid w:val="45CB15A9"/>
    <w:rsid w:val="4B1A192A"/>
    <w:rsid w:val="4B8D6C58"/>
    <w:rsid w:val="4C4168D8"/>
    <w:rsid w:val="565D48C4"/>
    <w:rsid w:val="56B11813"/>
    <w:rsid w:val="5869369F"/>
    <w:rsid w:val="5B9E0C63"/>
    <w:rsid w:val="5C982163"/>
    <w:rsid w:val="67F1513B"/>
    <w:rsid w:val="697B4733"/>
    <w:rsid w:val="6A283DEA"/>
    <w:rsid w:val="7E4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3">
    <w:name w:val="heading 3"/>
    <w:basedOn w:val="Heading"/>
    <w:next w:val="Textbody"/>
    <w:qFormat/>
    <w:p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Heading"/>
    <w:next w:val="Textbody"/>
    <w:qFormat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styleId="a3">
    <w:name w:val="Hyperlink"/>
    <w:basedOn w:val="a0"/>
    <w:qFormat/>
    <w:rPr>
      <w:color w:val="0563C1"/>
      <w:u w:val="single"/>
    </w:rPr>
  </w:style>
  <w:style w:type="paragraph" w:styleId="a4">
    <w:name w:val="Balloon Text"/>
    <w:basedOn w:val="a"/>
    <w:qFormat/>
    <w:rPr>
      <w:rFonts w:ascii="Tahoma" w:hAnsi="Tahoma"/>
      <w:sz w:val="16"/>
      <w:szCs w:val="14"/>
    </w:rPr>
  </w:style>
  <w:style w:type="paragraph" w:styleId="a5">
    <w:name w:val="caption"/>
    <w:basedOn w:val="Standard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  <w:qFormat/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0"/>
    <w:qFormat/>
    <w:rPr>
      <w:rFonts w:ascii="Tahoma" w:hAnsi="Tahoma"/>
      <w:sz w:val="16"/>
      <w:szCs w:val="14"/>
    </w:rPr>
  </w:style>
  <w:style w:type="paragraph" w:customStyle="1" w:styleId="western">
    <w:name w:val="western"/>
    <w:basedOn w:val="a"/>
    <w:qFormat/>
    <w:pPr>
      <w:widowControl/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ConsPlusNormal">
    <w:name w:val="ConsPlusNormal"/>
    <w:qFormat/>
    <w:pPr>
      <w:autoSpaceDE w:val="0"/>
      <w:autoSpaceDN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3">
    <w:name w:val="heading 3"/>
    <w:basedOn w:val="Heading"/>
    <w:next w:val="Textbody"/>
    <w:qFormat/>
    <w:p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Heading"/>
    <w:next w:val="Textbody"/>
    <w:qFormat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styleId="a3">
    <w:name w:val="Hyperlink"/>
    <w:basedOn w:val="a0"/>
    <w:qFormat/>
    <w:rPr>
      <w:color w:val="0563C1"/>
      <w:u w:val="single"/>
    </w:rPr>
  </w:style>
  <w:style w:type="paragraph" w:styleId="a4">
    <w:name w:val="Balloon Text"/>
    <w:basedOn w:val="a"/>
    <w:qFormat/>
    <w:rPr>
      <w:rFonts w:ascii="Tahoma" w:hAnsi="Tahoma"/>
      <w:sz w:val="16"/>
      <w:szCs w:val="14"/>
    </w:rPr>
  </w:style>
  <w:style w:type="paragraph" w:styleId="a5">
    <w:name w:val="caption"/>
    <w:basedOn w:val="Standard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  <w:qFormat/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0"/>
    <w:qFormat/>
    <w:rPr>
      <w:rFonts w:ascii="Tahoma" w:hAnsi="Tahoma"/>
      <w:sz w:val="16"/>
      <w:szCs w:val="14"/>
    </w:rPr>
  </w:style>
  <w:style w:type="paragraph" w:customStyle="1" w:styleId="western">
    <w:name w:val="western"/>
    <w:basedOn w:val="a"/>
    <w:qFormat/>
    <w:pPr>
      <w:widowControl/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ConsPlusNormal">
    <w:name w:val="ConsPlusNormal"/>
    <w:qFormat/>
    <w:pPr>
      <w:autoSpaceDE w:val="0"/>
      <w:autoSpaceDN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 Елена Юрьевна</dc:creator>
  <cp:lastModifiedBy>Яковлева Антонина Васильевна</cp:lastModifiedBy>
  <cp:revision>2</cp:revision>
  <cp:lastPrinted>2021-12-27T13:07:00Z</cp:lastPrinted>
  <dcterms:created xsi:type="dcterms:W3CDTF">2023-05-10T11:12:00Z</dcterms:created>
  <dcterms:modified xsi:type="dcterms:W3CDTF">2023-05-10T11:12:00Z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AE92739C5C564ED19A6E19D1DAE04723</vt:lpwstr>
  </property>
</Properties>
</file>