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240" w:lineRule="atLeast"/>
        <w:jc w:val="center"/>
        <w:rPr>
          <w:bCs w:val="0"/>
          <w:sz w:val="26"/>
          <w:szCs w:val="26"/>
        </w:rPr>
      </w:pPr>
      <w:bookmarkStart w:id="0" w:name="_GoBack"/>
      <w:bookmarkEnd w:id="0"/>
      <w:r>
        <w:rPr>
          <w:bCs w:val="0"/>
          <w:sz w:val="26"/>
          <w:szCs w:val="26"/>
        </w:rPr>
        <w:t>Физические лица – резиденты РФ обязаны представить отчет о движении денежных средств по зарубежным счетам до 1 июня</w:t>
      </w:r>
    </w:p>
    <w:p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УФНС России по Новгородской области информирует, что </w:t>
      </w:r>
      <w:r>
        <w:rPr>
          <w:rFonts w:ascii="Times New Roman" w:hAnsi="Times New Roman" w:cs="Times New Roman"/>
          <w:sz w:val="26"/>
          <w:szCs w:val="26"/>
        </w:rPr>
        <w:t xml:space="preserve">отчет о движении денежных средств и иных финансовых активов по счетам (вкладам) в банках и иных организациях финансового рынка, расположенных за пределами территории Российской Федерации,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за 2022 год </w:t>
      </w:r>
      <w:r>
        <w:rPr>
          <w:rFonts w:ascii="Times New Roman" w:hAnsi="Times New Roman" w:cs="Times New Roman"/>
          <w:sz w:val="26"/>
          <w:szCs w:val="26"/>
        </w:rPr>
        <w:t xml:space="preserve">физические лица - резиденты РФ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должны представить до 1 июня 2023 года.</w:t>
      </w:r>
    </w:p>
    <w:p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hd w:val="clear" w:color="auto" w:fill="FFFFFF"/>
        <w:spacing w:after="0" w:line="240" w:lineRule="atLeast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fldChar w:fldCharType="begin"/>
      </w:r>
      <w:r>
        <w:instrText xml:space="preserve"> HYPERLINK "https://www.consultant.ru/document/cons_doc_LAW_396694/243e95c6b74ae584b7adc6b6c24fd315e2bf59b1/" \l "dst100126"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6"/>
          <w:szCs w:val="26"/>
          <w:u w:val="none"/>
        </w:rPr>
        <w:t>Правила</w:t>
      </w:r>
      <w:r>
        <w:rPr>
          <w:rStyle w:val="5"/>
          <w:rFonts w:ascii="Times New Roman" w:hAnsi="Times New Roman" w:cs="Times New Roman"/>
          <w:color w:val="auto"/>
          <w:sz w:val="26"/>
          <w:szCs w:val="26"/>
          <w:u w:val="none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> представления и </w:t>
      </w:r>
      <w:r>
        <w:fldChar w:fldCharType="begin"/>
      </w:r>
      <w:r>
        <w:instrText xml:space="preserve"> HYPERLINK "https://www.consultant.ru/document/cons_doc_LAW_396694/39c22ec82b0a60c4320eee86a18b8335ab925d3c/" \l "dst100166"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6"/>
          <w:szCs w:val="26"/>
          <w:u w:val="none"/>
        </w:rPr>
        <w:t>форма</w:t>
      </w:r>
      <w:r>
        <w:rPr>
          <w:rStyle w:val="5"/>
          <w:rFonts w:ascii="Times New Roman" w:hAnsi="Times New Roman" w:cs="Times New Roman"/>
          <w:color w:val="auto"/>
          <w:sz w:val="26"/>
          <w:szCs w:val="26"/>
          <w:u w:val="none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> отчета утверждены </w:t>
      </w:r>
      <w:r>
        <w:fldChar w:fldCharType="begin"/>
      </w:r>
      <w:r>
        <w:instrText xml:space="preserve"> HYPERLINK "https://www.consultant.ru/document/cons_doc_LAW_396694/"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6"/>
          <w:szCs w:val="26"/>
          <w:u w:val="none"/>
        </w:rPr>
        <w:t>Постановлением</w:t>
      </w:r>
      <w:r>
        <w:rPr>
          <w:rStyle w:val="5"/>
          <w:rFonts w:ascii="Times New Roman" w:hAnsi="Times New Roman" w:cs="Times New Roman"/>
          <w:color w:val="auto"/>
          <w:sz w:val="26"/>
          <w:szCs w:val="26"/>
          <w:u w:val="none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 Правительства РФ от 12.12.2015 №1365. </w:t>
      </w:r>
      <w:r>
        <w:fldChar w:fldCharType="begin"/>
      </w:r>
      <w:r>
        <w:instrText xml:space="preserve"> HYPERLINK "https://www.consultant.ru/document/cons_doc_LAW_396694/39c22ec82b0a60c4320eee86a18b8335ab925d3c/" \l "dst100167" </w:instrText>
      </w:r>
      <w:r>
        <w:fldChar w:fldCharType="separate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Форма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 отчета размещена на сайте ФНС России в разделе «Валютный контроль».</w:t>
      </w:r>
    </w:p>
    <w:p>
      <w:pPr>
        <w:shd w:val="clear" w:color="auto" w:fill="FFFFFF"/>
        <w:spacing w:after="0" w:line="240" w:lineRule="atLeast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shd w:val="clear" w:color="auto" w:fill="FFFFFF"/>
        <w:spacing w:after="0" w:line="240" w:lineRule="atLeast"/>
        <w:jc w:val="both"/>
        <w:rPr>
          <w:rStyle w:val="7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 представляется на бумажном носителе лично или в электронной форме по телекоммуникационным каналам связи через оператора электронного документооборота. Можно направить отчет через Личный кабинет налогоплательщика на сайте ФНС России, либо заказным почтовым отправлением с  уведомлением о вручении. При этом отчет, представляемый через Личный кабинет, должен быть подписан  усиленной неквалифицированной электронной подписью</w:t>
      </w:r>
      <w:r>
        <w:rPr>
          <w:rStyle w:val="7"/>
          <w:rFonts w:ascii="Times New Roman" w:hAnsi="Times New Roman" w:cs="Times New Roman"/>
          <w:sz w:val="26"/>
          <w:szCs w:val="26"/>
        </w:rPr>
        <w:t>.</w:t>
      </w:r>
    </w:p>
    <w:p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Отчеты по счетам, открытым в странах ЕАЭС или участвующих в автоматическом обмене финансовой информацией, не представляются в случае, когда сумма зачисленных или списанных денежных средств на такой счет в течение года не превышает 600 тысяч рублей (</w:t>
      </w:r>
      <w:r>
        <w:fldChar w:fldCharType="begin"/>
      </w:r>
      <w:r>
        <w:instrText xml:space="preserve"> HYPERLINK "https://podmoskovye.bezformata.com/word/ekvivalentnomu/55118/" \o "эквивалентную"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>эквивалентную</w:t>
      </w:r>
      <w:r>
        <w:rPr>
          <w:rStyle w:val="5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fldChar w:fldCharType="end"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сумму в иностранной валюте), либо остаток денежных средств на таком счете на конец года не превышает 600 тысяч рублей (эквивалентную сумму в иностранной валюте). </w:t>
      </w:r>
    </w:p>
    <w:p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Отчет по иностранным электронным кошелькам не представляется, если общая сумма зачисленных на них средств за отчетный год не превышает сумму, эквивалентную 600 000 рублей. </w:t>
      </w:r>
    </w:p>
    <w:p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>
      <w:pPr>
        <w:shd w:val="clear" w:color="auto" w:fill="FFFFFF"/>
        <w:spacing w:after="0" w:line="240" w:lineRule="atLeast"/>
        <w:jc w:val="both"/>
        <w:rPr>
          <w:rStyle w:val="7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Для мобилизованных лиц в соответствии с </w:t>
      </w:r>
      <w:r>
        <w:fldChar w:fldCharType="begin"/>
      </w:r>
      <w:r>
        <w:instrText xml:space="preserve"> HYPERLINK "https://www.consultant.ru/document/cons_doc_LAW_429569/" \t "_blank"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>Постановлением</w:t>
      </w:r>
      <w:r>
        <w:rPr>
          <w:rStyle w:val="5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fldChar w:fldCharType="end"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Правительства РФ от 20.10.2022 №1874 срок представления </w:t>
      </w:r>
      <w:r>
        <w:fldChar w:fldCharType="begin"/>
      </w:r>
      <w:r>
        <w:instrText xml:space="preserve"> HYPERLINK "https://podmoskovye.bezformata.com/word/otchyotom/275/" \o "отчетов"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>отчетов</w:t>
      </w:r>
      <w:r>
        <w:rPr>
          <w:rStyle w:val="5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fldChar w:fldCharType="end"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продлен на три месяца после окончания периода частичной мобилизации (увольнения мобилизованного лица с военной службы).</w:t>
      </w:r>
    </w:p>
    <w:p>
      <w:pPr>
        <w:shd w:val="clear" w:color="auto" w:fill="FFFFFF"/>
        <w:spacing w:after="0" w:line="240" w:lineRule="atLeast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pBdr>
          <w:bottom w:val="single" w:color="EEEEEE" w:sz="8" w:space="9"/>
        </w:pBd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b/>
          <w:kern w:val="36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несоблюдение гражданами-резидентами порядка предоставления отчетов о движении средств по счетам (вкладам) в банках за пределами территории РФ предусмотрена административная ответственность в виде штрафа (</w:t>
      </w:r>
      <w:r>
        <w:fldChar w:fldCharType="begin"/>
      </w:r>
      <w:r>
        <w:instrText xml:space="preserve"> HYPERLINK "consultantplus://offline/ref=4A87E39DF9950EEFB91F170866F1F813AE491FA308CC45FF1132AA8A73BE4001007E45D08536J0h1N"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6"/>
          <w:szCs w:val="26"/>
          <w:u w:val="none"/>
        </w:rPr>
        <w:t>ч. 6 ст. 15.25</w:t>
      </w:r>
      <w:r>
        <w:rPr>
          <w:rStyle w:val="5"/>
          <w:rFonts w:ascii="Times New Roman" w:hAnsi="Times New Roman" w:cs="Times New Roman"/>
          <w:color w:val="auto"/>
          <w:sz w:val="26"/>
          <w:szCs w:val="26"/>
          <w:u w:val="none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КоАП РФ).</w:t>
      </w:r>
      <w:r>
        <w:rPr>
          <w:rFonts w:ascii="Times New Roman" w:hAnsi="Times New Roman" w:cs="Times New Roman"/>
          <w:iCs/>
          <w:sz w:val="26"/>
          <w:szCs w:val="26"/>
        </w:rPr>
        <w:t xml:space="preserve"> Кроме того, предусмотрена ответственность за нарушение срока представления отчетов в виде штрафа </w:t>
      </w:r>
      <w:r>
        <w:rPr>
          <w:rFonts w:ascii="Times New Roman" w:hAnsi="Times New Roman" w:cs="Times New Roman"/>
          <w:sz w:val="26"/>
          <w:szCs w:val="26"/>
        </w:rPr>
        <w:t>(</w:t>
      </w:r>
      <w:r>
        <w:fldChar w:fldCharType="begin"/>
      </w:r>
      <w:r>
        <w:instrText xml:space="preserve"> HYPERLINK "consultantplus://offline/ref=4A87E39DF9950EEFB91F170866F1F813AE491FA308CC45FF1132AA8A73BE4001007E45D08536J0hFN"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6"/>
          <w:szCs w:val="26"/>
          <w:u w:val="none"/>
        </w:rPr>
        <w:t>ч. ч. 6.1</w:t>
      </w:r>
      <w:r>
        <w:rPr>
          <w:rStyle w:val="5"/>
          <w:rFonts w:ascii="Times New Roman" w:hAnsi="Times New Roman" w:cs="Times New Roman"/>
          <w:color w:val="auto"/>
          <w:sz w:val="26"/>
          <w:szCs w:val="26"/>
          <w:u w:val="none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>
        <w:fldChar w:fldCharType="begin"/>
      </w:r>
      <w:r>
        <w:instrText xml:space="preserve"> HYPERLINK "consultantplus://offline/ref=4A87E39DF9950EEFB91F170866F1F813AE491FA308CC45FF1132AA8A73BE4001007E45D08535J0h5N"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6"/>
          <w:szCs w:val="26"/>
          <w:u w:val="none"/>
        </w:rPr>
        <w:t>6.3 ст. 15.25</w:t>
      </w:r>
      <w:r>
        <w:rPr>
          <w:rStyle w:val="5"/>
          <w:rFonts w:ascii="Times New Roman" w:hAnsi="Times New Roman" w:cs="Times New Roman"/>
          <w:color w:val="auto"/>
          <w:sz w:val="26"/>
          <w:szCs w:val="26"/>
          <w:u w:val="none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КоАП РФ).</w:t>
      </w:r>
    </w:p>
    <w:p>
      <w:pPr>
        <w:spacing w:after="0" w:line="240" w:lineRule="atLeast"/>
        <w:jc w:val="center"/>
        <w:outlineLvl w:val="0"/>
        <w:rPr>
          <w:rFonts w:ascii="Times New Roman" w:hAnsi="Times New Roman" w:eastAsia="Times New Roman" w:cs="Times New Roman"/>
          <w:b/>
          <w:kern w:val="36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kern w:val="36"/>
          <w:sz w:val="26"/>
          <w:szCs w:val="26"/>
          <w:lang w:eastAsia="ru-RU"/>
        </w:rPr>
        <w:t>Справку для подтверждения своего статуса плательщики НПД</w:t>
      </w:r>
    </w:p>
    <w:p>
      <w:pPr>
        <w:spacing w:after="0" w:line="240" w:lineRule="atLeast"/>
        <w:jc w:val="center"/>
        <w:outlineLvl w:val="0"/>
        <w:rPr>
          <w:rFonts w:ascii="Times New Roman" w:hAnsi="Times New Roman" w:eastAsia="Times New Roman" w:cs="Times New Roman"/>
          <w:b/>
          <w:kern w:val="36"/>
          <w:sz w:val="26"/>
          <w:szCs w:val="26"/>
          <w:lang w:val="en-US" w:eastAsia="ru-RU"/>
        </w:rPr>
      </w:pPr>
      <w:r>
        <w:rPr>
          <w:rFonts w:ascii="Times New Roman" w:hAnsi="Times New Roman" w:eastAsia="Times New Roman" w:cs="Times New Roman"/>
          <w:b/>
          <w:kern w:val="36"/>
          <w:sz w:val="26"/>
          <w:szCs w:val="26"/>
          <w:lang w:eastAsia="ru-RU"/>
        </w:rPr>
        <w:t xml:space="preserve"> формируют самостоятельно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Специальный налоговый режим «Налог на профессиональный доход» (НПД) применяется на территории Новгородской области более двух лет и введен Областным законом </w:t>
      </w:r>
      <w:r>
        <w:fldChar w:fldCharType="begin"/>
      </w:r>
      <w:r>
        <w:instrText xml:space="preserve"> HYPERLINK "https://www.nalog.ru/rn53/about_fts/docs/9931229/" \t "_blank"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6"/>
          <w:szCs w:val="26"/>
          <w:u w:val="none"/>
        </w:rPr>
        <w:t>от 29.05.2020 № 565-ОЗ</w:t>
      </w:r>
      <w:r>
        <w:rPr>
          <w:rStyle w:val="5"/>
          <w:rFonts w:ascii="Times New Roman" w:hAnsi="Times New Roman" w:cs="Times New Roman"/>
          <w:color w:val="auto"/>
          <w:sz w:val="26"/>
          <w:szCs w:val="26"/>
          <w:u w:val="none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с 1 июля 2020 года. Количество зарегистрированных плательщиков НПД на территории Новгородской области составляет более 20,9 тысяч человек.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Удобное мобильное приложение, простота регистрации, низкие налоговые ставки, а также отсутствие налоговой отчетности делают НПД привлекательным налоговым режимом.</w:t>
      </w:r>
      <w:r>
        <w:rPr>
          <w:rFonts w:ascii="Times New Roman" w:hAnsi="Times New Roman" w:cs="Times New Roman"/>
          <w:sz w:val="26"/>
          <w:szCs w:val="26"/>
        </w:rPr>
        <w:br w:type="textWrapping"/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Статус самозанятого может получить гражданин с доходом до 2,4 млн рублей в год, самостоятельно производящий товары или предоставляющий услуги, и не имеющий работодателя и наемных работников. НПД не может совмещаться ни с какими иными режимами налогообложения.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Самозанятые граждане освобождаются от необходимости представления какой-либо налоговой отчетности и регистрации контрольно-кассовой техники, а уплата налога производится по льготным налоговым ставкам: 4 % - с доходов, полученных от физических лиц, и 6 % - с доходов, полученных от юридических лиц и индивидуальных предпринимателей.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действия налогоплательщика и налогового органа по вопросам взаимодействия, расчета и уплаты налога, контролю доходов, снятию с учета ведутся с использованием мобильного приложения «Мой налог». При отсутствии смартфона можно работать через веб-версию приложения </w:t>
      </w:r>
      <w:r>
        <w:fldChar w:fldCharType="begin"/>
      </w:r>
      <w:r>
        <w:instrText xml:space="preserve"> HYPERLINK "https://npd.nalog.ru/app/" \t "_blank"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6"/>
          <w:szCs w:val="26"/>
          <w:u w:val="none"/>
        </w:rPr>
        <w:t>«Мой налог»</w:t>
      </w:r>
      <w:r>
        <w:rPr>
          <w:rStyle w:val="5"/>
          <w:rFonts w:ascii="Times New Roman" w:hAnsi="Times New Roman" w:cs="Times New Roman"/>
          <w:color w:val="auto"/>
          <w:sz w:val="26"/>
          <w:szCs w:val="26"/>
          <w:u w:val="none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>. 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Функционал мобильного приложения «Мой налог» позволяет самозанятым гражданам осуществлять онлайн постановку на учет и снятие с учета, вести учет доходов, формировать чеки и уплачивать НПД с использованием банковской карты.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Кроме того, при необходимости плательщики НПД для подтверждения своего статуса и доходов могут сформировать в </w:t>
      </w:r>
      <w:r>
        <w:fldChar w:fldCharType="begin"/>
      </w:r>
      <w:r>
        <w:instrText xml:space="preserve"> HYPERLINK "https://lknpd.nalog.ru/auth/login" </w:instrText>
      </w:r>
      <w:r>
        <w:fldChar w:fldCharType="separate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Личном кабинете плательщика НПД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 (</w:t>
      </w:r>
      <w:r>
        <w:fldChar w:fldCharType="begin"/>
      </w:r>
      <w:r>
        <w:instrText xml:space="preserve"> HYPERLINK "https://npd.nalog.ru/app/" </w:instrText>
      </w:r>
      <w:r>
        <w:fldChar w:fldCharType="separate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мобильном приложении «Мой налог»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справку о постановке на учет в качестве плательщика НПД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(КНД 1122035)</w:t>
      </w:r>
      <w:r>
        <w:rPr>
          <w:rFonts w:ascii="Times New Roman" w:hAnsi="Times New Roman" w:cs="Times New Roman"/>
          <w:sz w:val="26"/>
          <w:szCs w:val="26"/>
        </w:rPr>
        <w:t xml:space="preserve"> и (или) справку о состоянии расчетов (доходах) по НПД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(КНД 1122036)</w:t>
      </w:r>
      <w:r>
        <w:rPr>
          <w:rFonts w:ascii="Times New Roman" w:hAnsi="Times New Roman" w:cs="Times New Roman"/>
          <w:sz w:val="26"/>
          <w:szCs w:val="26"/>
        </w:rPr>
        <w:t>.</w:t>
      </w:r>
    </w:p>
    <w:p>
      <w:pPr>
        <w:shd w:val="clear" w:color="auto" w:fill="FFFFFF"/>
        <w:spacing w:after="0" w:line="240" w:lineRule="atLeast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shd w:val="clear" w:color="auto" w:fill="FFFFFF"/>
        <w:spacing w:after="0" w:line="240" w:lineRule="atLeast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Обе справки могут быть сформированы на любую дату или за любой период и подписываются усиленной квалифицированной электронной подписью налогового органа, которая приравнивает документ к заверенному собственноручно.</w:t>
      </w:r>
    </w:p>
    <w:p>
      <w:pPr>
        <w:shd w:val="clear" w:color="auto" w:fill="FFFFFF"/>
        <w:spacing w:after="0" w:line="240" w:lineRule="atLeast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Более подробную информацию о налоге на профессиональный доход можно получить на сайте ФНС России в разделе «Налог на профессиональный доход».</w:t>
      </w:r>
    </w:p>
    <w:p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Более 47 тысяч налогоплательщиков региона получают смс-рассылку</w:t>
      </w:r>
    </w:p>
    <w:p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о налоговой задолженности</w:t>
      </w:r>
    </w:p>
    <w:p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Налогоплательщики Новгородской области продолжают активно подключаться к услуге по информированию о налоговой задолженности посредством СМС - сообщения или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в форме электронного письма</w:t>
      </w:r>
      <w:r>
        <w:rPr>
          <w:rFonts w:ascii="Times New Roman" w:hAnsi="Times New Roman" w:cs="Times New Roman"/>
          <w:sz w:val="26"/>
          <w:szCs w:val="26"/>
        </w:rPr>
        <w:t>. На текущий момент такой возможностью уже воспользовались более 47 тысяч налогоплательщиков региона.</w:t>
      </w:r>
    </w:p>
    <w:p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Данная рассылка доступна как для физических, так и для юридических лиц.</w:t>
      </w:r>
      <w:r>
        <w:rPr>
          <w:rFonts w:ascii="Times New Roman" w:hAnsi="Times New Roman" w:cs="Times New Roman"/>
          <w:sz w:val="26"/>
          <w:szCs w:val="26"/>
        </w:rPr>
        <w:t xml:space="preserve"> Обязательным условием предоставления услуги является письменное согласие налогоплательщика на информирование о наличии задолженности, представленное в налоговый орган. Форма согласия утверждена Приказом ФНС России от 30.11.2022 N ЕД-7-8/1135@.</w:t>
      </w:r>
    </w:p>
    <w:p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Представить согласие можно в электронной форме - по телекоммуникационным каналам связи, через личный кабинет налогоплательщика, либо на бумаге - при личном посещении или, направив по почте.</w:t>
      </w:r>
    </w:p>
    <w:p>
      <w:pPr>
        <w:pStyle w:val="9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 в квартал налоговая служба напомнит о задолженности (при ее наличии), направив СМС - сообщение или электронное письмо. </w:t>
      </w:r>
      <w:r>
        <w:rPr>
          <w:rFonts w:ascii="Times New Roman" w:hAnsi="Times New Roman" w:cs="Times New Roman"/>
          <w:bCs/>
          <w:sz w:val="26"/>
          <w:szCs w:val="26"/>
        </w:rPr>
        <w:t>Налогоплательщик может в любой момент отказаться от дальнейшего информирования, представив заявление об отказе.</w:t>
      </w:r>
    </w:p>
    <w:p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405965"/>
        </w:rPr>
      </w:pPr>
    </w:p>
    <w:p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налогоплательщик получает возможность контролировать актуальное состояние расчетов с бюджетом и избежать применения мер взыскания задолженности, обеспечительных мер к должнику и иных ограничений.</w:t>
      </w:r>
    </w:p>
    <w:sectPr>
      <w:pgSz w:w="11906" w:h="16838"/>
      <w:pgMar w:top="1134" w:right="566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747"/>
    <w:rsid w:val="00014D8D"/>
    <w:rsid w:val="00016FF6"/>
    <w:rsid w:val="00030AC6"/>
    <w:rsid w:val="001F5AB6"/>
    <w:rsid w:val="00261E71"/>
    <w:rsid w:val="00273A2E"/>
    <w:rsid w:val="002E0747"/>
    <w:rsid w:val="003B74C0"/>
    <w:rsid w:val="0046413D"/>
    <w:rsid w:val="00491EFF"/>
    <w:rsid w:val="005A2EE4"/>
    <w:rsid w:val="006138B3"/>
    <w:rsid w:val="00674703"/>
    <w:rsid w:val="00675831"/>
    <w:rsid w:val="0067632C"/>
    <w:rsid w:val="006D396E"/>
    <w:rsid w:val="006E11A8"/>
    <w:rsid w:val="00896F42"/>
    <w:rsid w:val="0091016E"/>
    <w:rsid w:val="00A02E06"/>
    <w:rsid w:val="00A52D5B"/>
    <w:rsid w:val="00B54CCF"/>
    <w:rsid w:val="00C001C4"/>
    <w:rsid w:val="00D06B17"/>
    <w:rsid w:val="00D13925"/>
    <w:rsid w:val="00D42DF3"/>
    <w:rsid w:val="00D57FEC"/>
    <w:rsid w:val="00DE1433"/>
    <w:rsid w:val="00E13055"/>
    <w:rsid w:val="00E71F69"/>
    <w:rsid w:val="00F467F5"/>
    <w:rsid w:val="00FA2FB4"/>
    <w:rsid w:val="00FA7F33"/>
    <w:rsid w:val="11D8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1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link w:val="6"/>
    <w:unhideWhenUsed/>
    <w:uiPriority w:val="99"/>
    <w:rPr>
      <w:color w:val="0000FF"/>
      <w:u w:val="single"/>
    </w:rPr>
  </w:style>
  <w:style w:type="paragraph" w:customStyle="1" w:styleId="6">
    <w:name w:val="Гиперссылка1"/>
    <w:link w:val="5"/>
    <w:uiPriority w:val="99"/>
    <w:pPr>
      <w:spacing w:after="0" w:line="240" w:lineRule="auto"/>
    </w:pPr>
    <w:rPr>
      <w:rFonts w:asciiTheme="minorHAnsi" w:hAnsiTheme="minorHAnsi" w:eastAsiaTheme="minorHAnsi" w:cstheme="minorBidi"/>
      <w:color w:val="0000FF"/>
      <w:sz w:val="22"/>
      <w:szCs w:val="22"/>
      <w:u w:val="single"/>
      <w:lang w:val="ru-RU" w:eastAsia="en-US" w:bidi="ar-SA"/>
    </w:rPr>
  </w:style>
  <w:style w:type="character" w:styleId="7">
    <w:name w:val="Strong"/>
    <w:basedOn w:val="3"/>
    <w:qFormat/>
    <w:uiPriority w:val="22"/>
    <w:rPr>
      <w:b/>
      <w:bCs/>
    </w:rPr>
  </w:style>
  <w:style w:type="paragraph" w:styleId="8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Normal (Web)"/>
    <w:basedOn w:val="1"/>
    <w:link w:val="12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">
    <w:name w:val="Subtitle"/>
    <w:basedOn w:val="1"/>
    <w:link w:val="16"/>
    <w:qFormat/>
    <w:uiPriority w:val="0"/>
    <w:pPr>
      <w:spacing w:after="60" w:line="240" w:lineRule="auto"/>
      <w:jc w:val="center"/>
      <w:outlineLvl w:val="1"/>
    </w:pPr>
    <w:rPr>
      <w:rFonts w:ascii="Arial" w:hAnsi="Arial" w:eastAsia="Times New Roman" w:cs="Times New Roman"/>
      <w:color w:val="000000"/>
      <w:sz w:val="24"/>
      <w:szCs w:val="20"/>
      <w:lang w:eastAsia="ru-RU"/>
    </w:rPr>
  </w:style>
  <w:style w:type="character" w:customStyle="1" w:styleId="11">
    <w:name w:val="Заголовок 1 Знак"/>
    <w:basedOn w:val="3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Обычный (веб) Знак"/>
    <w:basedOn w:val="3"/>
    <w:link w:val="9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3">
    <w:name w:val="align_lef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Текст выноски Знак"/>
    <w:basedOn w:val="3"/>
    <w:link w:val="8"/>
    <w:semiHidden/>
    <w:uiPriority w:val="99"/>
    <w:rPr>
      <w:rFonts w:ascii="Tahoma" w:hAnsi="Tahoma" w:cs="Tahoma"/>
      <w:sz w:val="16"/>
      <w:szCs w:val="16"/>
    </w:rPr>
  </w:style>
  <w:style w:type="character" w:customStyle="1" w:styleId="16">
    <w:name w:val="Подзаголовок Знак"/>
    <w:basedOn w:val="3"/>
    <w:link w:val="10"/>
    <w:qFormat/>
    <w:uiPriority w:val="0"/>
    <w:rPr>
      <w:rFonts w:ascii="Arial" w:hAnsi="Arial" w:eastAsia="Times New Roman" w:cs="Times New Roman"/>
      <w:color w:val="000000"/>
      <w:sz w:val="24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2744F-B99E-4818-B2A8-B34C54611D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1082</Words>
  <Characters>6171</Characters>
  <Lines>51</Lines>
  <Paragraphs>14</Paragraphs>
  <TotalTime>164</TotalTime>
  <ScaleCrop>false</ScaleCrop>
  <LinksUpToDate>false</LinksUpToDate>
  <CharactersWithSpaces>7239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2023-05-24T09:36:00Z</dcterms:created>
  <dc:creator>Иванова Любовь Анатольевна</dc:creator>
  <cp:lastModifiedBy>MorozovaIV</cp:lastModifiedBy>
  <dcterms:modified xsi:type="dcterms:W3CDTF">2023-05-30T05:44:59Z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05E6F237CDDC49AD9B041FAF417881DC</vt:lpwstr>
  </property>
</Properties>
</file>