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УТВЕРЖДЁН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распоряжениями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Правительства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Новгородской области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от 29.12.2021  №349-рг;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Администрации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муниципального района</w:t>
      </w:r>
    </w:p>
    <w:p>
      <w:pPr>
        <w:widowControl w:val="0"/>
        <w:suppressAutoHyphens/>
        <w:wordWrap w:val="0"/>
        <w:spacing w:before="0" w:after="0" w:line="240" w:lineRule="auto"/>
        <w:ind w:firstLine="0"/>
        <w:jc w:val="center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от 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16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.03.20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22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№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56-рг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12"/>
        <w:shd w:val="clear" w:color="auto" w:fill="auto"/>
        <w:spacing w:before="0" w:after="0"/>
        <w:ind w:left="20" w:firstLine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ПЛАН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МЕРОПРИЯТИЙ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(«ДОРОЖНАЯ КАРТА») </w:t>
      </w:r>
    </w:p>
    <w:p>
      <w:pPr>
        <w:pStyle w:val="12"/>
        <w:shd w:val="clear" w:color="auto" w:fill="auto"/>
        <w:spacing w:before="0" w:after="0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по содействию развитию конкуренции в</w: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ru-RU"/>
        </w:rPr>
        <w:t>тарорусском муниципальном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районе на 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годы</w:t>
      </w:r>
    </w:p>
    <w:p>
      <w:pPr>
        <w:pStyle w:val="12"/>
        <w:shd w:val="clear" w:color="auto" w:fill="auto"/>
        <w:spacing w:before="0" w:after="0"/>
        <w:ind w:left="20" w:firstLine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rFonts w:hint="default"/>
          <w:sz w:val="28"/>
          <w:szCs w:val="28"/>
          <w:lang w:val="ru-RU"/>
        </w:rPr>
        <w:t xml:space="preserve"> 1 кв. 2025 года</w:t>
      </w:r>
    </w:p>
    <w:p>
      <w:pPr>
        <w:pStyle w:val="12"/>
        <w:shd w:val="clear" w:color="auto" w:fill="auto"/>
        <w:spacing w:before="0" w:after="0"/>
        <w:ind w:left="20" w:firstLine="0"/>
        <w:rPr>
          <w:rFonts w:hint="default"/>
          <w:sz w:val="28"/>
          <w:szCs w:val="28"/>
          <w:lang w:val="ru-RU"/>
        </w:rPr>
      </w:pPr>
    </w:p>
    <w:tbl>
      <w:tblPr>
        <w:tblStyle w:val="10"/>
        <w:tblW w:w="1474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198"/>
        <w:gridCol w:w="2775"/>
        <w:gridCol w:w="1336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5" w:type="dxa"/>
            <w:shd w:val="clear" w:color="auto" w:fill="auto"/>
            <w:vAlign w:val="center"/>
          </w:tcPr>
          <w:p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   п/п</w:t>
            </w:r>
          </w:p>
        </w:tc>
        <w:tc>
          <w:tcPr>
            <w:tcW w:w="6198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Ключевое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событие /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результат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Выполнение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за 1 кв. 2025 г.</w:t>
            </w:r>
          </w:p>
        </w:tc>
      </w:tr>
    </w:tbl>
    <w:p>
      <w:pPr>
        <w:pStyle w:val="12"/>
        <w:shd w:val="clear" w:color="auto" w:fill="auto"/>
        <w:spacing w:before="0" w:after="0" w:line="20" w:lineRule="exact"/>
        <w:ind w:left="23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10"/>
        <w:tblW w:w="1474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210"/>
        <w:gridCol w:w="2790"/>
        <w:gridCol w:w="1336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right"/>
        </w:trPr>
        <w:tc>
          <w:tcPr>
            <w:tcW w:w="592" w:type="dxa"/>
            <w:shd w:val="clear" w:color="auto" w:fill="auto"/>
            <w:vAlign w:val="center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contextualSpacing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Мероприятия, направленные на развитие конкуренции в отдельных отраслях (сферах) экономики (видах деятельности) в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в сфере торговли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Внесение изменений в утверждённые схемы размещения нестационарных торговых объектов с целью расширения мелкорозничной торговой сети на территории муници-пального района, размещение схем в информационно-телекоммуникационной сети «Интернет»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center"/>
              <w:rPr>
                <w:rStyle w:val="19"/>
                <w:rFonts w:hint="default" w:eastAsiaTheme="minorHAnsi"/>
                <w:bCs/>
                <w:lang w:val="ru-RU"/>
              </w:rPr>
            </w:pP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Style w:val="19"/>
                <w:rFonts w:ascii="Times New Roman" w:hAnsi="Times New Roman" w:eastAsiaTheme="minorHAnsi"/>
                <w:bCs/>
                <w:sz w:val="24"/>
                <w:szCs w:val="24"/>
              </w:rPr>
              <w:t xml:space="preserve">величение </w:t>
            </w: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количества</w:t>
            </w:r>
            <w:r>
              <w:rPr>
                <w:rStyle w:val="19"/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нестационарных и мобильных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Style w:val="19"/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31 декабря 2024 года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Calibri" w:hAnsi="Calibri" w:eastAsia="Calibri" w:cstheme="minorBidi"/>
                <w:color w:val="auto"/>
                <w:kern w:val="0"/>
                <w:sz w:val="22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Комитет экономического разви-тия и инвестиций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Постановлениями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31.01.2023 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192,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07.03.2023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446,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15.05.2023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1031,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14.09.2023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2050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, от 09.09.2024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№2349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внесены изменения в схему раз-мещения нестационарных торго-вых объектов, расположенных на территории МО городское поселе-ние город Старая Русса, утверж-дённую постановлением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25.08.2022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2012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; внесены изме-нения 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Положение о порядке размещения нестационарных тор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говых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объектов на территории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МО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городского поселения город Ста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рая Русса, утвержд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ё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нное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новлением Администрации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от 12.04.2022 № 863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, постановле-нием от 27.05.2024 №1191 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внесе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 изменени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 в Положение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о порядке размещения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нестационар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ных торговых объектов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на терри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тории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 xml:space="preserve">МО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городского поселения город Старая Русса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. В 1 кв. 2025 г. в схему размещения НТО, распо-ложенных на территории МО изменения не вносились.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Организация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проведения мероприятий, направленных на продвижение продукции новгородских товаропроизводи-телей (с/х производителей) в нестационарных и мобиль-ных торговых объектах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</w:t>
            </w:r>
            <w:r>
              <w:rPr>
                <w:rStyle w:val="19"/>
                <w:b w:val="0"/>
                <w:sz w:val="24"/>
                <w:szCs w:val="24"/>
              </w:rPr>
              <w:t xml:space="preserve"> г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 xml:space="preserve">Для продвижения продукции нов-городских товаропроизводителей (с/х производителей) в 1 кв. 2025 г. проводилась 02.03.2025 - ярмарка «Масленица».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Проведение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мониторинга количества договоров о пре-доставлении права на размещение нестационарных тор-говых объектов, срок действия которых продлён без про-ведения торгов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>В течение 1 кв. 2025 г. договора о предоставлении права на размеще-ние НТО посредством реализации преимущественного права не заключались.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Создание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условий для обеспечения отдалённых и труд-нодоступных населённых пунктов муниципального райо-на продуктами питания и товарами первой необходи-мости посредством организации и развития развозной торговли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 территории МР развозная тор-говля, осуществляется посредством автолавок юридических лиц  и 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ИП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Маршруты автолавок выстроены таким образом, чтобы максимально обеспечить население в сельской местности, перечень 6 отдалённых труднодоступных населённых пунктов утверждён постановлением Администрации Старорусского МР от  19.09.2022 №2162 «Об утверж-дении перечня отдалённых и (или) труднодоступных населённых пунктов Старорусского МР и обес-печения их услугами торговли по-средством мобильных торговых объектов, осуществляющих достав-ку и реализацию товаров». 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остановление Администрации Старорусского МР от 07.12.2023 №2814 «О внесении изменений в перечень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Маршруты осуществляются соглас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но графиков, утверждённых поста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новлением Администрации Старо-русского МР  от 19.09.2022 № 2161 «Об утверждении графика и марш-рутов обслуживания жителей отда-лённых и (или) труднодоступных населённых пунктов Старорусского МР и обеспечения их услугами торговли посредством мобильных торговых объектов, осуществляю-щих доставку и реализацию това-ров».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Постановление Администрации Старорусского МР от 07.12.2023 №2815 «О внесении изменений в график и маршруты обслуживания жителей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Постановление Администрации Старорусского МР от 26.01.2024 №127 «О внесении изменений в график и маршруты обслуживания жителей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товаров». </w:t>
            </w:r>
          </w:p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В течение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1 кв.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202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 г. субсидия  х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субъектам н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е предоставлялась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(п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остановлени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от 18.03.2024 №598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Порядка предоставления субсидий на воз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мещение части затрат за приобре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ГСМ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юридическим лицам (за исключением государственных (муниципальных) учреждений 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ИП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создание условий для обес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печения жителей отдалённых и (или) труднодоступных населён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ных пунктов Старорусского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услугами торговли посредством мобильных торговых объектов, обеспечивающих доставку и реа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лизацию товаров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»).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Развитие конкуренции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рынке ритуальных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инвентаризации кладбищ и мест захороне-ний на них</w:t>
            </w:r>
          </w:p>
        </w:tc>
        <w:tc>
          <w:tcPr>
            <w:tcW w:w="2790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 размещён в региональной государственной информационной системе «Портал государственных и муниципальных услуг (функций) Новгородской области» реестр кладбищ и мест захоронений на них, в которые включены сведения о существующих кладбищах и местах захоронений на них: 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отношении 20% количества существующих кладбищ - до 31 декабря 2023 г.;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отношении 50% количества существующих кладбищ - до 31 декабря 2024 г.;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отношении всех существующих кладбищ - до 31 декабря 2025 г.</w:t>
            </w:r>
          </w:p>
        </w:tc>
        <w:tc>
          <w:tcPr>
            <w:tcW w:w="1336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На территории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г.Старая Русса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функционируют 2 городских клад-бища (Симоновское, Никольское).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en-US" w:bidi="en-US"/>
              </w:rPr>
              <w:t xml:space="preserve">В течение 1 кв. 2025 г. работы не проводились, т.к. инвентаризация (создание электронных архивов баз данных учёта мест захороне-ний путём проведения инвентари-зации) проведена в полном объёме в 4 кв. 2023 года. Стоимость работ -1477,1 тыс. руб.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Великосельского с/п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- утверждён порядок проведе-ния инвентаризации (постановле-ние №67 от 03.06.2022), создана комиссия. На территории с/п функционируют 9 общественных кладбищ. Инвентаризация граж-данских кладбищ полностью завершена в 2024 году. Ведётся работа по внесению полученной информации в электронный вид.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Медниковского с/п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- принято постановление №55 от 10.06.2022 «Об утверждении порядка проведения инвентариза-ции мест захоронений ...». На тер-ритории функционируют 3 обще-ственных кладбища (д.Малые Гор-бы, д.Рамушево, д.Стариково). Инвентаризация кладбищ завер-шена полностью. Продолжается работа по внесению полученной информации в электронный вид.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Взвадского с/п -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принято постановление №39 от 03.06.2022 «Об утверждении по-рядка проведения инвентаризации мест захоронений ..». В течение 1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кв. 2025 г. продолжалась инвента-ризация гражданского кладбища в д.Взвад. Имеется 511 захороне-ний; 54 - безымянные (не имеют опознавательных табличек), а 78 - с табличками. Сделаны фото мест захоронений, созданы описания каждого захоронения и схема мест расположения захоронений на территории кладбища.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Ивановского с/п -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принято постановление №47 от 30.05.2022 г. о проведении инвен-таризации кладбищ.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На террито-рии функционируют 2 обществен-ных кладбища (д.Ивановское, у бывшего населённого пункта -д.Андроново). Инвентаризация 2-х гражданских кладбищ, располо-женных на территории с/поселе-ния  полностью завершена в 2023 году.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Наговского с/п -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утверждён порядок проведения инвентаризации (постановление №109 от 20.06.2022), создана ко-миссия. На территории функцио-нируют 11 общественных клад-бищ. В течение 1 кв. 2025 г. про-должалась инвентаризация граж-данского кладбища в д. Леохново. Проведена инвентаризация 260 захоронений. В ходе работы выявлено 70 неблагоустроенных (брошенных) захоронений, а 190 - с установленными табличками.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Новосельского с/п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находятся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10 общественных кладбищ, из них 9 - открытых для захоронений, а 1 - закрыто. Оформлены 4 земельных участка под  кладбища.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поря-док проведения инвентаризации мест погребения и мест захороне-ний, находящихся на территории Новосельского с/п (от 20.07.2022 №67). Создана комиссия для про-ведения инвентаризации кладбищ. В течение 1 кв. 2025 г. продолжа-лась инвентаризация гражданских кладбищ: д. Ратча (220 захороне-ний, площадь 0,1251 га); д. Борок (15 захоронений, площадь 0,12 га); д. Бор (38 захоронений, площадь 0,15 га); Новодеревенское (59 захоронений, площадь 0,23 га); д. Марфино (733 захоронения, площадь 0,5127 га); д.Яблоново (716 захоронений, площадь 0,5478 га); Зехинское (564 захоронения, площадь 0,50 га); Ефремово-1 (27 захоронений, площадь 0,30 га); Ефремово-2 (10 захоронений, площадь 0,10 га); Воскресенское (361 захоронение, площадь 0,1 га).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Залучского с/п -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порядок проведения инвентаризации (постановление №63 от 04.07.2022), создана ко-миссия. На территории с/п функ-ционируют 18 общественных кладбищ.  В 1 кв. 2025 г. продол-жалась работа по внесению в реестр данных инвентаризации по гражданскому захоронению в д. Старая Пересса.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Доведение до населения муниципального района инфор-мации о создании реестра кладбищ и мест захоронений, в том числе с использованием средств массовой информа-ции</w:t>
            </w:r>
          </w:p>
        </w:tc>
        <w:tc>
          <w:tcPr>
            <w:tcW w:w="2790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Во всех сельских поселениях ве-дётся разъяснительная работа с на-селением (встречи, сходы граж-дан) об обязательном уведомлении  Администраций с/п о захороне-нии граждан, запрете самоволь-ного захоронения и/или занятия земельных участков (устройство могил). Данная информация регу-лярно обновляется  на информа-ционных стендах, установленных на входах кладбищ.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Мониторинг пассажиропотока и потребностей муници-пального района в корректировке существующей марш-рутной сети и создании новых маршрутов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- не менее 67%</w:t>
            </w:r>
          </w:p>
        </w:tc>
        <w:tc>
          <w:tcPr>
            <w:tcW w:w="1336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 1 кв. 2025 г. продолжают действовать 10 муниципальных контрактов на выполнение работ, связанных с осуществлением регу-лярных перевозок пассажиров и багажа автомобильным транспор-том общего пользования по регу-лируемым тарифам в городском сообщении муниципального обра-зования город Старая Русса, заключённых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 2024 году.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оля услуг по перевозке автомобиль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ным транспортом по муниципаль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ным маршрутам выполняется организациями частной формы на 100 %.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Разработка и принятие нормативного правового акта о планировании регулярных перевозок с учётом получен-ной информации по результатам мониторинга </w:t>
            </w:r>
          </w:p>
        </w:tc>
        <w:tc>
          <w:tcPr>
            <w:tcW w:w="2790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336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17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на рынке архитектурно-строительного проектирования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Реализация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 </w:t>
            </w:r>
          </w:p>
        </w:tc>
        <w:tc>
          <w:tcPr>
            <w:tcW w:w="2790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hint="default"/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сокращение</w:t>
            </w:r>
            <w:r>
              <w:rPr>
                <w:rFonts w:hint="default"/>
                <w:b w:val="0"/>
                <w:sz w:val="24"/>
                <w:szCs w:val="24"/>
                <w:lang w:val="ru-RU"/>
              </w:rPr>
              <w:t xml:space="preserve"> сроков получения информации в сфере архитектурно-строительного проектирования</w:t>
            </w:r>
          </w:p>
        </w:tc>
        <w:tc>
          <w:tcPr>
            <w:tcW w:w="1336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Муниципальная услуга по выдаче градостроительного плана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земель-ного участка предоставляется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в электронном виде, срок оказания услуги составляет 14 календарных дней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изменения в административ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ный регламент по предоставлению муниципальной услуги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в течение 1 кв.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г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не вносились.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numPr>
                <w:ilvl w:val="0"/>
                <w:numId w:val="0"/>
              </w:numPr>
              <w:spacing w:before="0" w:after="200" w:line="240" w:lineRule="auto"/>
              <w:ind w:left="2160" w:leftChars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5. Развитие конкуренции на рынке выполнения работ по благоустройству городской среды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Привлечение на конкурсной основе подрядных организа-ций для проведения работ по благоустройству дворовых территорий и общественных пространств в муниципаль-ном районе 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равного доступа участия субъектов предпринимательства к проведению работ по благоустройству территорий; повышение эффективности использования бюджетных средств</w:t>
            </w:r>
          </w:p>
        </w:tc>
        <w:tc>
          <w:tcPr>
            <w:tcW w:w="1336" w:type="dxa"/>
            <w:shd w:val="clear" w:color="auto" w:fill="auto"/>
          </w:tcPr>
          <w:p>
            <w:pPr>
              <w:pStyle w:val="39"/>
              <w:widowControl w:val="0"/>
              <w:shd w:val="clear" w:color="auto" w:fill="FFFFFF"/>
              <w:spacing w:before="0" w:after="300" w:line="322" w:lineRule="exact"/>
              <w:jc w:val="center"/>
              <w:rPr>
                <w:sz w:val="22"/>
                <w:szCs w:val="22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1 кв.2025 г. работы по благо-устройству дворовых территорий и общественных пространств в МО не проводились.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6.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пределах полномочий в реализа-ции планируемых операторами связи проектов развития связи на основе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широкополосного доступа к информаци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онно-телекоммуникационной сети «Интернет» по совре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менным каналам связи на территории муниципального района 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доступности услуг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широкополосного доступа к информационно-телекоммуникационной сети «Интернет» в сельских населённых пунктах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39"/>
              <w:widowControl w:val="0"/>
              <w:shd w:val="clear" w:color="auto" w:fill="FFFFFF"/>
              <w:spacing w:before="0" w:after="300" w:line="322" w:lineRule="exact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  <w:r>
              <w:rPr>
                <w:rStyle w:val="19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Оказывается содействие специали-зированным организациям в выборе земельных участков под строитель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ство объектов связи, а также их дальнейшее предоставление под указанные цели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(по мере обраще-ний)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.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В течение 1 кв. 2025 г. обра-щений от специализированных организаций по проблеме сети «Интернет» не поступало.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2. Системные мероприятия по содействию развитию конкуренции в 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 в частности: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составление планов-графиков полной инвентаризации муниципального имущества, в том числе закреплённого за предприятиями, учреждениями;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проведение инвентаризации муниципального имущест-ва, определение муниципального имущества, не соответ-ствующего требованиям отнесения к категории имущест-ва, предназначенного для реализации функций и полно-мочий ОМСУ;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включение указанного имущества в план приватизации, утверждение плана по перепрофилированию имущества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до 01 января 2024 года</w:t>
            </w:r>
          </w:p>
          <w:p>
            <w:pPr>
              <w:spacing w:before="0" w:after="200" w:line="240" w:lineRule="auto"/>
              <w:jc w:val="center"/>
              <w:rPr>
                <w:rFonts w:hint="default" w:cstheme="minorBid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Проведена инвентаризация казны муниципального имущества: недвижимое - 858,9 млн. руб.; дви-жимое - 89,6 млн. руб.; земельные участки -114,8 млн. рублей. Муниципальное имущество города Ст. Русса: недвижимое - 469,6 млн. руб.; движимое - 89,5 млн. руб.; земельные участки - 0,4 млн. руб.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30.01.2025 подготовлены прогноз-ные планы приватизации муници-пального имущества МО город Старая Русса и МО Старорусский муниципальный район.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В течение 2025 г. запланировано провести 8 выездных проверок фактического наличия, использова-ния по назначению и сохранности муниципального имущества.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Приватизация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либо перепрофилирование (изменение це-левого назначения имущества) муниципального имущест-ва, 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соответствующего требованиям отнесения к категории имущества, предназначенного для реализации функций и полномочий ОМСУ:</w:t>
            </w:r>
          </w:p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before="0"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организация и проведение публичных торгов по реали-зации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приватизация либо перепрофилирование (изменение целевого назначения имущества) муниципального иму-щества, 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336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30.01.2025 г. утверждён план прива-тизации муниципального имущест-ва  МО город Старая Русса и МО Старорусский МР. 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1 кв. 2025 г.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проведена продажа муниципального имуще-ства (по положению о продаже долей в праве общей долевой собст-венности) на сумму 179,0 тыс. руб. В течение 2025 г. запланировано провести 6 аукционов по продаже муниципального имущества.</w:t>
            </w:r>
          </w:p>
        </w:tc>
      </w:tr>
    </w:tbl>
    <w:p>
      <w:pPr>
        <w:spacing w:before="0" w:after="200"/>
        <w:jc w:val="both"/>
      </w:pPr>
    </w:p>
    <w:sectPr>
      <w:pgSz w:w="16838" w:h="11906" w:orient="landscape"/>
      <w:pgMar w:top="680" w:right="680" w:bottom="680" w:left="680" w:header="720" w:footer="72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6509"/>
    <w:rsid w:val="016520DE"/>
    <w:rsid w:val="01AA2A12"/>
    <w:rsid w:val="020D4F90"/>
    <w:rsid w:val="024C06AB"/>
    <w:rsid w:val="027A3654"/>
    <w:rsid w:val="03230A8B"/>
    <w:rsid w:val="0339118D"/>
    <w:rsid w:val="034E7584"/>
    <w:rsid w:val="03563213"/>
    <w:rsid w:val="03705B0E"/>
    <w:rsid w:val="03E656D0"/>
    <w:rsid w:val="04775040"/>
    <w:rsid w:val="04D731B2"/>
    <w:rsid w:val="04EC7C40"/>
    <w:rsid w:val="050C04C4"/>
    <w:rsid w:val="051D13A2"/>
    <w:rsid w:val="052E66A1"/>
    <w:rsid w:val="05395BE6"/>
    <w:rsid w:val="0576768C"/>
    <w:rsid w:val="057B4F3D"/>
    <w:rsid w:val="05F02BB9"/>
    <w:rsid w:val="05F25BCC"/>
    <w:rsid w:val="06C01EB7"/>
    <w:rsid w:val="06D27D32"/>
    <w:rsid w:val="06D82FBE"/>
    <w:rsid w:val="06E52628"/>
    <w:rsid w:val="07356423"/>
    <w:rsid w:val="07450544"/>
    <w:rsid w:val="07505B45"/>
    <w:rsid w:val="075C7D5C"/>
    <w:rsid w:val="07B211C0"/>
    <w:rsid w:val="07B24133"/>
    <w:rsid w:val="08655A8E"/>
    <w:rsid w:val="08831E59"/>
    <w:rsid w:val="08D00432"/>
    <w:rsid w:val="09085BD3"/>
    <w:rsid w:val="0933261E"/>
    <w:rsid w:val="09472EC2"/>
    <w:rsid w:val="094C36E3"/>
    <w:rsid w:val="095766E7"/>
    <w:rsid w:val="09647BCB"/>
    <w:rsid w:val="09C05F91"/>
    <w:rsid w:val="09D0002E"/>
    <w:rsid w:val="09E438AA"/>
    <w:rsid w:val="0A0301B5"/>
    <w:rsid w:val="0A0B4B46"/>
    <w:rsid w:val="0A122922"/>
    <w:rsid w:val="0A3A2687"/>
    <w:rsid w:val="0A9C2335"/>
    <w:rsid w:val="0AB32A83"/>
    <w:rsid w:val="0B112F69"/>
    <w:rsid w:val="0B342ED9"/>
    <w:rsid w:val="0B4572E7"/>
    <w:rsid w:val="0B587B0C"/>
    <w:rsid w:val="0B896A32"/>
    <w:rsid w:val="0BA815D0"/>
    <w:rsid w:val="0BDF351C"/>
    <w:rsid w:val="0C1D7108"/>
    <w:rsid w:val="0C693793"/>
    <w:rsid w:val="0CC92FB8"/>
    <w:rsid w:val="0CE93180"/>
    <w:rsid w:val="0D2B3E32"/>
    <w:rsid w:val="0D4F57ED"/>
    <w:rsid w:val="0DBE26D2"/>
    <w:rsid w:val="0DFF7460"/>
    <w:rsid w:val="0E142624"/>
    <w:rsid w:val="0E152FB1"/>
    <w:rsid w:val="0E195B18"/>
    <w:rsid w:val="0EA602D2"/>
    <w:rsid w:val="0EF87AC8"/>
    <w:rsid w:val="0F5547F4"/>
    <w:rsid w:val="0F8653CF"/>
    <w:rsid w:val="0FBD359F"/>
    <w:rsid w:val="0FC354DF"/>
    <w:rsid w:val="0FC611C8"/>
    <w:rsid w:val="0FCF7653"/>
    <w:rsid w:val="101D3799"/>
    <w:rsid w:val="101F39BF"/>
    <w:rsid w:val="104C25F2"/>
    <w:rsid w:val="1087012F"/>
    <w:rsid w:val="10D70FDC"/>
    <w:rsid w:val="10E27BA8"/>
    <w:rsid w:val="10EE467F"/>
    <w:rsid w:val="10F4019C"/>
    <w:rsid w:val="112C46A2"/>
    <w:rsid w:val="11577132"/>
    <w:rsid w:val="116A5139"/>
    <w:rsid w:val="11787500"/>
    <w:rsid w:val="11BD75DF"/>
    <w:rsid w:val="11C37E37"/>
    <w:rsid w:val="11C45124"/>
    <w:rsid w:val="11E93152"/>
    <w:rsid w:val="12075C12"/>
    <w:rsid w:val="120A7E40"/>
    <w:rsid w:val="12656F8B"/>
    <w:rsid w:val="12A02967"/>
    <w:rsid w:val="12BF4055"/>
    <w:rsid w:val="13415664"/>
    <w:rsid w:val="13630CE7"/>
    <w:rsid w:val="13A51988"/>
    <w:rsid w:val="13AA0DE7"/>
    <w:rsid w:val="13D867D9"/>
    <w:rsid w:val="1474180D"/>
    <w:rsid w:val="147A3B3D"/>
    <w:rsid w:val="148635BC"/>
    <w:rsid w:val="14A00C13"/>
    <w:rsid w:val="14D103B1"/>
    <w:rsid w:val="14DE5C61"/>
    <w:rsid w:val="150E0705"/>
    <w:rsid w:val="151B606B"/>
    <w:rsid w:val="152D0714"/>
    <w:rsid w:val="15393BA7"/>
    <w:rsid w:val="15796EBF"/>
    <w:rsid w:val="15A213AC"/>
    <w:rsid w:val="160B772A"/>
    <w:rsid w:val="161C7EAE"/>
    <w:rsid w:val="168227CC"/>
    <w:rsid w:val="16EE32D8"/>
    <w:rsid w:val="170A118C"/>
    <w:rsid w:val="172C640D"/>
    <w:rsid w:val="17443C9D"/>
    <w:rsid w:val="17CB7502"/>
    <w:rsid w:val="17CD3DE2"/>
    <w:rsid w:val="17E714A4"/>
    <w:rsid w:val="17EE21E8"/>
    <w:rsid w:val="17F4558D"/>
    <w:rsid w:val="18025B4E"/>
    <w:rsid w:val="1858133A"/>
    <w:rsid w:val="18605DBE"/>
    <w:rsid w:val="186D4A7A"/>
    <w:rsid w:val="18806E2D"/>
    <w:rsid w:val="18B76C48"/>
    <w:rsid w:val="18C47D99"/>
    <w:rsid w:val="18F31376"/>
    <w:rsid w:val="190502FC"/>
    <w:rsid w:val="196828CA"/>
    <w:rsid w:val="19896DE7"/>
    <w:rsid w:val="1A216F48"/>
    <w:rsid w:val="1A295FE8"/>
    <w:rsid w:val="1A3379D8"/>
    <w:rsid w:val="1A4B5BD8"/>
    <w:rsid w:val="1AE0160D"/>
    <w:rsid w:val="1BC908F6"/>
    <w:rsid w:val="1BF23DE8"/>
    <w:rsid w:val="1C952C38"/>
    <w:rsid w:val="1C9C6553"/>
    <w:rsid w:val="1CA21D69"/>
    <w:rsid w:val="1CD223BF"/>
    <w:rsid w:val="1CDE1E07"/>
    <w:rsid w:val="1D0A1075"/>
    <w:rsid w:val="1D125352"/>
    <w:rsid w:val="1D2C0D31"/>
    <w:rsid w:val="1DB16C5E"/>
    <w:rsid w:val="1DC61ABC"/>
    <w:rsid w:val="1DF1063A"/>
    <w:rsid w:val="1E73036D"/>
    <w:rsid w:val="1E871DB2"/>
    <w:rsid w:val="1F4145A4"/>
    <w:rsid w:val="1F6A21BA"/>
    <w:rsid w:val="1F876532"/>
    <w:rsid w:val="1F9C35AC"/>
    <w:rsid w:val="1FA966B6"/>
    <w:rsid w:val="1FC75E3D"/>
    <w:rsid w:val="1FDE1A2B"/>
    <w:rsid w:val="200A6974"/>
    <w:rsid w:val="201F2C6C"/>
    <w:rsid w:val="205873B8"/>
    <w:rsid w:val="205E7207"/>
    <w:rsid w:val="20954A38"/>
    <w:rsid w:val="20D221AC"/>
    <w:rsid w:val="211E11F6"/>
    <w:rsid w:val="214B7085"/>
    <w:rsid w:val="21632D93"/>
    <w:rsid w:val="22050BA2"/>
    <w:rsid w:val="2237384C"/>
    <w:rsid w:val="227856A8"/>
    <w:rsid w:val="22A42835"/>
    <w:rsid w:val="22B50535"/>
    <w:rsid w:val="22CB625A"/>
    <w:rsid w:val="236520B2"/>
    <w:rsid w:val="238E2547"/>
    <w:rsid w:val="23E843C4"/>
    <w:rsid w:val="23EE0A25"/>
    <w:rsid w:val="2409542E"/>
    <w:rsid w:val="241E10BD"/>
    <w:rsid w:val="24245BB7"/>
    <w:rsid w:val="242B603B"/>
    <w:rsid w:val="242D3049"/>
    <w:rsid w:val="248656BE"/>
    <w:rsid w:val="24F2786E"/>
    <w:rsid w:val="25124D6A"/>
    <w:rsid w:val="254148F0"/>
    <w:rsid w:val="25852AF7"/>
    <w:rsid w:val="25DF0815"/>
    <w:rsid w:val="262634C8"/>
    <w:rsid w:val="269D5ADE"/>
    <w:rsid w:val="26A16D80"/>
    <w:rsid w:val="26A93FA7"/>
    <w:rsid w:val="270609B2"/>
    <w:rsid w:val="273457FB"/>
    <w:rsid w:val="27952837"/>
    <w:rsid w:val="28026FD0"/>
    <w:rsid w:val="28165901"/>
    <w:rsid w:val="285232F9"/>
    <w:rsid w:val="28642DE2"/>
    <w:rsid w:val="288E2627"/>
    <w:rsid w:val="288F7180"/>
    <w:rsid w:val="28951301"/>
    <w:rsid w:val="289D1741"/>
    <w:rsid w:val="28C250CD"/>
    <w:rsid w:val="28E02776"/>
    <w:rsid w:val="28E9464D"/>
    <w:rsid w:val="294E0AA6"/>
    <w:rsid w:val="298D78A4"/>
    <w:rsid w:val="299E6226"/>
    <w:rsid w:val="29C031AD"/>
    <w:rsid w:val="2A690FA6"/>
    <w:rsid w:val="2A6C0BE3"/>
    <w:rsid w:val="2A8975D2"/>
    <w:rsid w:val="2AF6698B"/>
    <w:rsid w:val="2B3B6361"/>
    <w:rsid w:val="2B4C7EA7"/>
    <w:rsid w:val="2B547B97"/>
    <w:rsid w:val="2B55627F"/>
    <w:rsid w:val="2B954FA4"/>
    <w:rsid w:val="2BC33688"/>
    <w:rsid w:val="2C1E381C"/>
    <w:rsid w:val="2C314CC9"/>
    <w:rsid w:val="2C317DD5"/>
    <w:rsid w:val="2C686DA2"/>
    <w:rsid w:val="2C970BD9"/>
    <w:rsid w:val="2CB37820"/>
    <w:rsid w:val="2CD12194"/>
    <w:rsid w:val="2CED4D6F"/>
    <w:rsid w:val="2CF5781A"/>
    <w:rsid w:val="2D1946FF"/>
    <w:rsid w:val="2D1F06F8"/>
    <w:rsid w:val="2D8466DE"/>
    <w:rsid w:val="2D96301E"/>
    <w:rsid w:val="2DEE7623"/>
    <w:rsid w:val="2E296371"/>
    <w:rsid w:val="2E6118C0"/>
    <w:rsid w:val="2E6A5D01"/>
    <w:rsid w:val="2E813BE4"/>
    <w:rsid w:val="2EA23896"/>
    <w:rsid w:val="2EDA6824"/>
    <w:rsid w:val="2EDB0BB4"/>
    <w:rsid w:val="2EE2299A"/>
    <w:rsid w:val="2F084098"/>
    <w:rsid w:val="2F1038FE"/>
    <w:rsid w:val="2F120E93"/>
    <w:rsid w:val="2F364540"/>
    <w:rsid w:val="2F452169"/>
    <w:rsid w:val="2F6122AD"/>
    <w:rsid w:val="2FA94BF0"/>
    <w:rsid w:val="2FD63E09"/>
    <w:rsid w:val="30461916"/>
    <w:rsid w:val="306C76A7"/>
    <w:rsid w:val="308F575E"/>
    <w:rsid w:val="30C4400F"/>
    <w:rsid w:val="30D02B78"/>
    <w:rsid w:val="30ED020D"/>
    <w:rsid w:val="310D55C9"/>
    <w:rsid w:val="31243A93"/>
    <w:rsid w:val="313130B4"/>
    <w:rsid w:val="31EB6E86"/>
    <w:rsid w:val="32775A18"/>
    <w:rsid w:val="32B34E67"/>
    <w:rsid w:val="32B506C8"/>
    <w:rsid w:val="32B53050"/>
    <w:rsid w:val="32D65101"/>
    <w:rsid w:val="32E133FD"/>
    <w:rsid w:val="33065849"/>
    <w:rsid w:val="3320715A"/>
    <w:rsid w:val="332D139F"/>
    <w:rsid w:val="33694C2B"/>
    <w:rsid w:val="33AB61B8"/>
    <w:rsid w:val="33F9007D"/>
    <w:rsid w:val="345516F0"/>
    <w:rsid w:val="352B6BF8"/>
    <w:rsid w:val="35B41579"/>
    <w:rsid w:val="35E74F81"/>
    <w:rsid w:val="36C6533E"/>
    <w:rsid w:val="36F34CE3"/>
    <w:rsid w:val="37191617"/>
    <w:rsid w:val="37233E05"/>
    <w:rsid w:val="372C797C"/>
    <w:rsid w:val="3733755A"/>
    <w:rsid w:val="373A67C9"/>
    <w:rsid w:val="373A6B4E"/>
    <w:rsid w:val="37BB39FF"/>
    <w:rsid w:val="37CD60F4"/>
    <w:rsid w:val="37E41C31"/>
    <w:rsid w:val="37E841E5"/>
    <w:rsid w:val="386C36A5"/>
    <w:rsid w:val="387456EE"/>
    <w:rsid w:val="38C64D4C"/>
    <w:rsid w:val="38CB585A"/>
    <w:rsid w:val="38D33823"/>
    <w:rsid w:val="38F06B6C"/>
    <w:rsid w:val="39304B6D"/>
    <w:rsid w:val="39A7189A"/>
    <w:rsid w:val="39C71EAE"/>
    <w:rsid w:val="3A52300C"/>
    <w:rsid w:val="3AAD6730"/>
    <w:rsid w:val="3AC52713"/>
    <w:rsid w:val="3B134123"/>
    <w:rsid w:val="3BB024F2"/>
    <w:rsid w:val="3C472946"/>
    <w:rsid w:val="3C4D2F27"/>
    <w:rsid w:val="3C4D4438"/>
    <w:rsid w:val="3C4E513F"/>
    <w:rsid w:val="3C512A7C"/>
    <w:rsid w:val="3CB344E5"/>
    <w:rsid w:val="3CF41187"/>
    <w:rsid w:val="3CF44EAB"/>
    <w:rsid w:val="3D037C51"/>
    <w:rsid w:val="3D1A48E3"/>
    <w:rsid w:val="3D5873CB"/>
    <w:rsid w:val="3D6E0540"/>
    <w:rsid w:val="3D79066D"/>
    <w:rsid w:val="3DB11A27"/>
    <w:rsid w:val="3DC61E24"/>
    <w:rsid w:val="3DF52760"/>
    <w:rsid w:val="3DF824F0"/>
    <w:rsid w:val="3E126BB2"/>
    <w:rsid w:val="3E6951A4"/>
    <w:rsid w:val="3E94736D"/>
    <w:rsid w:val="3E9B0E01"/>
    <w:rsid w:val="3F115A28"/>
    <w:rsid w:val="3F223061"/>
    <w:rsid w:val="3F681A0D"/>
    <w:rsid w:val="3F7A7131"/>
    <w:rsid w:val="3F8324C1"/>
    <w:rsid w:val="3FF14D0D"/>
    <w:rsid w:val="3FFF776C"/>
    <w:rsid w:val="401B6695"/>
    <w:rsid w:val="401E14BF"/>
    <w:rsid w:val="404644D7"/>
    <w:rsid w:val="40721F50"/>
    <w:rsid w:val="40737368"/>
    <w:rsid w:val="40DB36E3"/>
    <w:rsid w:val="414E2011"/>
    <w:rsid w:val="415050F3"/>
    <w:rsid w:val="417A0EE2"/>
    <w:rsid w:val="41B0119C"/>
    <w:rsid w:val="41BF028D"/>
    <w:rsid w:val="41C93A4E"/>
    <w:rsid w:val="4260627C"/>
    <w:rsid w:val="42A4238E"/>
    <w:rsid w:val="431A7566"/>
    <w:rsid w:val="43453395"/>
    <w:rsid w:val="43737D1F"/>
    <w:rsid w:val="438C1970"/>
    <w:rsid w:val="43D71DDC"/>
    <w:rsid w:val="44131C8B"/>
    <w:rsid w:val="443F305B"/>
    <w:rsid w:val="4474523E"/>
    <w:rsid w:val="448942FE"/>
    <w:rsid w:val="44B23F28"/>
    <w:rsid w:val="44C735DD"/>
    <w:rsid w:val="44FC0F52"/>
    <w:rsid w:val="45811FE5"/>
    <w:rsid w:val="459851A2"/>
    <w:rsid w:val="460F1D6F"/>
    <w:rsid w:val="462768DF"/>
    <w:rsid w:val="466A778E"/>
    <w:rsid w:val="46707574"/>
    <w:rsid w:val="469F5D9E"/>
    <w:rsid w:val="46A268B6"/>
    <w:rsid w:val="46CB5129"/>
    <w:rsid w:val="46DA0FF7"/>
    <w:rsid w:val="4719473C"/>
    <w:rsid w:val="47371329"/>
    <w:rsid w:val="474C2185"/>
    <w:rsid w:val="4751550B"/>
    <w:rsid w:val="47B05D7D"/>
    <w:rsid w:val="47B84C3A"/>
    <w:rsid w:val="47DF311C"/>
    <w:rsid w:val="482963B8"/>
    <w:rsid w:val="48851C90"/>
    <w:rsid w:val="48A3708C"/>
    <w:rsid w:val="48C73D4E"/>
    <w:rsid w:val="48EF4EAA"/>
    <w:rsid w:val="48F60842"/>
    <w:rsid w:val="48F667CE"/>
    <w:rsid w:val="49571305"/>
    <w:rsid w:val="495A325C"/>
    <w:rsid w:val="49982BC5"/>
    <w:rsid w:val="49C97593"/>
    <w:rsid w:val="4A0C34F4"/>
    <w:rsid w:val="4A396C59"/>
    <w:rsid w:val="4A57493E"/>
    <w:rsid w:val="4A58105D"/>
    <w:rsid w:val="4A6B1B0A"/>
    <w:rsid w:val="4A6E3AF8"/>
    <w:rsid w:val="4A971CDA"/>
    <w:rsid w:val="4AC90D09"/>
    <w:rsid w:val="4ACD0C42"/>
    <w:rsid w:val="4AD617BB"/>
    <w:rsid w:val="4B043133"/>
    <w:rsid w:val="4B123B09"/>
    <w:rsid w:val="4B1D2B6B"/>
    <w:rsid w:val="4B6D470C"/>
    <w:rsid w:val="4C923754"/>
    <w:rsid w:val="4D134580"/>
    <w:rsid w:val="4D500AD6"/>
    <w:rsid w:val="4D8A3003"/>
    <w:rsid w:val="4DB03254"/>
    <w:rsid w:val="4E203B9B"/>
    <w:rsid w:val="4EAC3BEC"/>
    <w:rsid w:val="4EC222A8"/>
    <w:rsid w:val="4ECB0284"/>
    <w:rsid w:val="4EE655D5"/>
    <w:rsid w:val="4F3C51AC"/>
    <w:rsid w:val="5035521A"/>
    <w:rsid w:val="508354EF"/>
    <w:rsid w:val="50B54936"/>
    <w:rsid w:val="51160DAF"/>
    <w:rsid w:val="51346EED"/>
    <w:rsid w:val="51833787"/>
    <w:rsid w:val="51CD6625"/>
    <w:rsid w:val="524A2F61"/>
    <w:rsid w:val="5275441A"/>
    <w:rsid w:val="527E18D0"/>
    <w:rsid w:val="528C5BCD"/>
    <w:rsid w:val="52DD491B"/>
    <w:rsid w:val="52F3220C"/>
    <w:rsid w:val="53001C60"/>
    <w:rsid w:val="53392350"/>
    <w:rsid w:val="53526FC4"/>
    <w:rsid w:val="536D4DA5"/>
    <w:rsid w:val="538C722F"/>
    <w:rsid w:val="53941479"/>
    <w:rsid w:val="539711D8"/>
    <w:rsid w:val="5430267D"/>
    <w:rsid w:val="54414327"/>
    <w:rsid w:val="54644859"/>
    <w:rsid w:val="547970F4"/>
    <w:rsid w:val="54842A1D"/>
    <w:rsid w:val="54991006"/>
    <w:rsid w:val="54C26D8D"/>
    <w:rsid w:val="54E43ECC"/>
    <w:rsid w:val="5518614D"/>
    <w:rsid w:val="5549386E"/>
    <w:rsid w:val="554F1FEB"/>
    <w:rsid w:val="55971EF2"/>
    <w:rsid w:val="55AA7B56"/>
    <w:rsid w:val="55BB7198"/>
    <w:rsid w:val="56346BDC"/>
    <w:rsid w:val="56796B80"/>
    <w:rsid w:val="568309A4"/>
    <w:rsid w:val="569B180A"/>
    <w:rsid w:val="56B91C24"/>
    <w:rsid w:val="57A93E9A"/>
    <w:rsid w:val="57CC4A0A"/>
    <w:rsid w:val="580C09FC"/>
    <w:rsid w:val="581B32EF"/>
    <w:rsid w:val="582D519E"/>
    <w:rsid w:val="59F005D1"/>
    <w:rsid w:val="5A454BAA"/>
    <w:rsid w:val="5B0472B9"/>
    <w:rsid w:val="5B1F224A"/>
    <w:rsid w:val="5B766E17"/>
    <w:rsid w:val="5BA8095D"/>
    <w:rsid w:val="5BAB068D"/>
    <w:rsid w:val="5BFC71C5"/>
    <w:rsid w:val="5C0E4470"/>
    <w:rsid w:val="5C1A4FD0"/>
    <w:rsid w:val="5C88596E"/>
    <w:rsid w:val="5CBB7937"/>
    <w:rsid w:val="5D451871"/>
    <w:rsid w:val="5D7727EE"/>
    <w:rsid w:val="5DF51B42"/>
    <w:rsid w:val="5E410C1D"/>
    <w:rsid w:val="5E425067"/>
    <w:rsid w:val="5E5267E4"/>
    <w:rsid w:val="5E5A410F"/>
    <w:rsid w:val="5EAC7821"/>
    <w:rsid w:val="5F5A2DC5"/>
    <w:rsid w:val="5F70254F"/>
    <w:rsid w:val="5F743332"/>
    <w:rsid w:val="5FE321F6"/>
    <w:rsid w:val="602A2606"/>
    <w:rsid w:val="6063268C"/>
    <w:rsid w:val="60947DB1"/>
    <w:rsid w:val="60BE34BF"/>
    <w:rsid w:val="60F85099"/>
    <w:rsid w:val="610B2589"/>
    <w:rsid w:val="61244752"/>
    <w:rsid w:val="6163288A"/>
    <w:rsid w:val="61726506"/>
    <w:rsid w:val="61C361C5"/>
    <w:rsid w:val="61C524CF"/>
    <w:rsid w:val="61DC182F"/>
    <w:rsid w:val="61E0052F"/>
    <w:rsid w:val="621A7FE2"/>
    <w:rsid w:val="62342CD9"/>
    <w:rsid w:val="62502777"/>
    <w:rsid w:val="62CA6044"/>
    <w:rsid w:val="632F15A5"/>
    <w:rsid w:val="633E3062"/>
    <w:rsid w:val="634C053B"/>
    <w:rsid w:val="635E663C"/>
    <w:rsid w:val="638A2DFE"/>
    <w:rsid w:val="63A41F48"/>
    <w:rsid w:val="650D3CBC"/>
    <w:rsid w:val="651626E9"/>
    <w:rsid w:val="658F4E73"/>
    <w:rsid w:val="65C603CC"/>
    <w:rsid w:val="65CE05B4"/>
    <w:rsid w:val="6635746E"/>
    <w:rsid w:val="66D27330"/>
    <w:rsid w:val="671A07EA"/>
    <w:rsid w:val="673D3CCE"/>
    <w:rsid w:val="67737C8B"/>
    <w:rsid w:val="67762CB9"/>
    <w:rsid w:val="67A73A48"/>
    <w:rsid w:val="67E11F79"/>
    <w:rsid w:val="68341A2E"/>
    <w:rsid w:val="683F40CB"/>
    <w:rsid w:val="685E6520"/>
    <w:rsid w:val="688F2991"/>
    <w:rsid w:val="688F7B60"/>
    <w:rsid w:val="68BC13A6"/>
    <w:rsid w:val="68BF4637"/>
    <w:rsid w:val="68C15468"/>
    <w:rsid w:val="697E50C9"/>
    <w:rsid w:val="69A73A68"/>
    <w:rsid w:val="6A2C78D3"/>
    <w:rsid w:val="6A325A2A"/>
    <w:rsid w:val="6A9A11EA"/>
    <w:rsid w:val="6AD22E3B"/>
    <w:rsid w:val="6AF7441F"/>
    <w:rsid w:val="6AFB7EB3"/>
    <w:rsid w:val="6AFC1BA0"/>
    <w:rsid w:val="6B5908C3"/>
    <w:rsid w:val="6B676061"/>
    <w:rsid w:val="6BB0398D"/>
    <w:rsid w:val="6C1E42F7"/>
    <w:rsid w:val="6C333191"/>
    <w:rsid w:val="6C3B48D5"/>
    <w:rsid w:val="6C490D1C"/>
    <w:rsid w:val="6C50163A"/>
    <w:rsid w:val="6C716F80"/>
    <w:rsid w:val="6CE72969"/>
    <w:rsid w:val="6D427D53"/>
    <w:rsid w:val="6D604CBF"/>
    <w:rsid w:val="6D62672A"/>
    <w:rsid w:val="6DC63E92"/>
    <w:rsid w:val="6E1329BF"/>
    <w:rsid w:val="6E3A30F5"/>
    <w:rsid w:val="6E49657F"/>
    <w:rsid w:val="6EA45931"/>
    <w:rsid w:val="6EA76461"/>
    <w:rsid w:val="6F0C1BBC"/>
    <w:rsid w:val="6F0E6F7D"/>
    <w:rsid w:val="6F363663"/>
    <w:rsid w:val="6F68342B"/>
    <w:rsid w:val="6F6C13AA"/>
    <w:rsid w:val="6F6F2464"/>
    <w:rsid w:val="6F882027"/>
    <w:rsid w:val="6F8853D8"/>
    <w:rsid w:val="6FC0047E"/>
    <w:rsid w:val="706276B8"/>
    <w:rsid w:val="70BD2312"/>
    <w:rsid w:val="70C44B0B"/>
    <w:rsid w:val="71016330"/>
    <w:rsid w:val="71161167"/>
    <w:rsid w:val="711A5263"/>
    <w:rsid w:val="71242677"/>
    <w:rsid w:val="715600B2"/>
    <w:rsid w:val="71592937"/>
    <w:rsid w:val="717D7D72"/>
    <w:rsid w:val="71D821C2"/>
    <w:rsid w:val="71DF237D"/>
    <w:rsid w:val="72184323"/>
    <w:rsid w:val="724533B7"/>
    <w:rsid w:val="72782EC3"/>
    <w:rsid w:val="72932DAD"/>
    <w:rsid w:val="72C0643D"/>
    <w:rsid w:val="72DB14C6"/>
    <w:rsid w:val="73504832"/>
    <w:rsid w:val="7352631A"/>
    <w:rsid w:val="738E492D"/>
    <w:rsid w:val="73D62EAC"/>
    <w:rsid w:val="7413135C"/>
    <w:rsid w:val="743D70E4"/>
    <w:rsid w:val="746E2119"/>
    <w:rsid w:val="750F2995"/>
    <w:rsid w:val="752B4B30"/>
    <w:rsid w:val="75A71A11"/>
    <w:rsid w:val="75F66BC0"/>
    <w:rsid w:val="7605506E"/>
    <w:rsid w:val="76071516"/>
    <w:rsid w:val="76194E60"/>
    <w:rsid w:val="764850E9"/>
    <w:rsid w:val="765C647D"/>
    <w:rsid w:val="767F4EE0"/>
    <w:rsid w:val="76814B60"/>
    <w:rsid w:val="7684623D"/>
    <w:rsid w:val="76F4020D"/>
    <w:rsid w:val="770A30AD"/>
    <w:rsid w:val="77303869"/>
    <w:rsid w:val="7760435F"/>
    <w:rsid w:val="77606E29"/>
    <w:rsid w:val="77DE4EF4"/>
    <w:rsid w:val="787E5674"/>
    <w:rsid w:val="788879E9"/>
    <w:rsid w:val="789940AE"/>
    <w:rsid w:val="791E7D47"/>
    <w:rsid w:val="793C13C4"/>
    <w:rsid w:val="79666FDB"/>
    <w:rsid w:val="79762EBA"/>
    <w:rsid w:val="79850CEC"/>
    <w:rsid w:val="799B3B02"/>
    <w:rsid w:val="79A57AFB"/>
    <w:rsid w:val="79BF0870"/>
    <w:rsid w:val="79E02CBF"/>
    <w:rsid w:val="7A1178C9"/>
    <w:rsid w:val="7A2F6A64"/>
    <w:rsid w:val="7A565DDF"/>
    <w:rsid w:val="7AB94635"/>
    <w:rsid w:val="7ABA6BD1"/>
    <w:rsid w:val="7B5538BE"/>
    <w:rsid w:val="7B9B4A3E"/>
    <w:rsid w:val="7BC5571C"/>
    <w:rsid w:val="7BDA0063"/>
    <w:rsid w:val="7BDE2654"/>
    <w:rsid w:val="7BDE2D59"/>
    <w:rsid w:val="7BF5779F"/>
    <w:rsid w:val="7C156B84"/>
    <w:rsid w:val="7C3B7FF8"/>
    <w:rsid w:val="7C740802"/>
    <w:rsid w:val="7C7C7DFD"/>
    <w:rsid w:val="7C8B5BD2"/>
    <w:rsid w:val="7C951FEC"/>
    <w:rsid w:val="7CD220A4"/>
    <w:rsid w:val="7CD97D76"/>
    <w:rsid w:val="7CEA7317"/>
    <w:rsid w:val="7CF33666"/>
    <w:rsid w:val="7CFF5D4D"/>
    <w:rsid w:val="7DBC62A8"/>
    <w:rsid w:val="7DEA6A50"/>
    <w:rsid w:val="7E305EAD"/>
    <w:rsid w:val="7E5C48FC"/>
    <w:rsid w:val="7E5D7847"/>
    <w:rsid w:val="7E6D6F02"/>
    <w:rsid w:val="7E817B84"/>
    <w:rsid w:val="7EC71782"/>
    <w:rsid w:val="7ED6624F"/>
    <w:rsid w:val="7F1E16EF"/>
    <w:rsid w:val="7F5111BD"/>
    <w:rsid w:val="7F7842E8"/>
    <w:rsid w:val="7F900791"/>
    <w:rsid w:val="7FA31D6D"/>
    <w:rsid w:val="7FE04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List"/>
    <w:basedOn w:val="7"/>
    <w:qFormat/>
    <w:uiPriority w:val="0"/>
    <w:rPr>
      <w:rFonts w:cs="Mangal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3">
    <w:name w:val="Заголовок №1_"/>
    <w:basedOn w:val="2"/>
    <w:link w:val="14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4">
    <w:name w:val="Заголовок №1"/>
    <w:basedOn w:val="1"/>
    <w:link w:val="13"/>
    <w:qFormat/>
    <w:uiPriority w:val="0"/>
    <w:pPr>
      <w:widowControl w:val="0"/>
      <w:shd w:val="clear" w:color="auto" w:fill="FFFFFF"/>
      <w:spacing w:before="480" w:after="60" w:line="240" w:lineRule="auto"/>
      <w:jc w:val="both"/>
      <w:outlineLvl w:val="0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5">
    <w:name w:val="Заголовок №2_"/>
    <w:basedOn w:val="2"/>
    <w:link w:val="16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6">
    <w:name w:val="Заголовок №2"/>
    <w:basedOn w:val="1"/>
    <w:link w:val="15"/>
    <w:qFormat/>
    <w:uiPriority w:val="0"/>
    <w:pPr>
      <w:widowControl w:val="0"/>
      <w:shd w:val="clear" w:color="auto" w:fill="FFFFFF"/>
      <w:spacing w:before="0" w:after="420" w:line="240" w:lineRule="auto"/>
      <w:ind w:hanging="1060"/>
      <w:outlineLvl w:val="1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7">
    <w:name w:val="Основной текст_"/>
    <w:basedOn w:val="2"/>
    <w:qFormat/>
    <w:uiPriority w:val="0"/>
    <w:rPr>
      <w:rFonts w:ascii="Times New Roman" w:hAnsi="Times New Roman" w:eastAsia="Times New Roman" w:cs="Times New Roman"/>
      <w:spacing w:val="-4"/>
      <w:sz w:val="27"/>
      <w:szCs w:val="27"/>
      <w:shd w:val="clear" w:fill="FFFFFF"/>
    </w:rPr>
  </w:style>
  <w:style w:type="character" w:customStyle="1" w:styleId="18">
    <w:name w:val="Основной текст + 11 pt"/>
    <w:qFormat/>
    <w:uiPriority w:val="0"/>
    <w:rPr>
      <w:color w:val="000000"/>
      <w:spacing w:val="1"/>
      <w:w w:val="100"/>
      <w:sz w:val="22"/>
      <w:szCs w:val="22"/>
      <w:shd w:val="clear" w:fill="FFFFFF"/>
      <w:lang w:val="ru-RU"/>
    </w:rPr>
  </w:style>
  <w:style w:type="character" w:customStyle="1" w:styleId="19">
    <w:name w:val="Основной текст + 11 pt;Интервал 0 pt"/>
    <w:basedOn w:val="17"/>
    <w:qFormat/>
    <w:uiPriority w:val="0"/>
    <w:rPr>
      <w:rFonts w:ascii="Times New Roman" w:hAnsi="Times New Roman" w:eastAsia="Times New Roman" w:cs="Times New Roman"/>
      <w:color w:val="000000"/>
      <w:spacing w:val="1"/>
      <w:w w:val="100"/>
      <w:sz w:val="22"/>
      <w:szCs w:val="22"/>
      <w:shd w:val="clear" w:fill="FFFFFF"/>
      <w:lang w:val="ru-RU"/>
    </w:rPr>
  </w:style>
  <w:style w:type="character" w:customStyle="1" w:styleId="20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Верхний колонтитул Знак"/>
    <w:basedOn w:val="2"/>
    <w:qFormat/>
    <w:uiPriority w:val="99"/>
  </w:style>
  <w:style w:type="character" w:customStyle="1" w:styleId="22">
    <w:name w:val="Нижний колонтитул Знак"/>
    <w:basedOn w:val="2"/>
    <w:qFormat/>
    <w:uiPriority w:val="99"/>
  </w:style>
  <w:style w:type="character" w:customStyle="1" w:styleId="23">
    <w:name w:val="ListLabel 1"/>
    <w:qFormat/>
    <w:uiPriority w:val="0"/>
    <w:rPr>
      <w:rFonts w:eastAsia="Times New Roman" w:cs="Times New Roman"/>
      <w:b/>
      <w:bCs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24">
    <w:name w:val="ListLabel 2"/>
    <w:qFormat/>
    <w:uiPriority w:val="0"/>
    <w:rPr>
      <w:rFonts w:eastAsia="Times New Roman" w:cs="Times New Roman"/>
      <w:b/>
      <w:bCs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25">
    <w:name w:val="ListLabel 3"/>
    <w:qFormat/>
    <w:uiPriority w:val="0"/>
    <w:rPr>
      <w:rFonts w:ascii="Times New Roman" w:hAnsi="Times New Roman"/>
      <w:b/>
    </w:rPr>
  </w:style>
  <w:style w:type="character" w:customStyle="1" w:styleId="26">
    <w:name w:val="ListLabel 4"/>
    <w:qFormat/>
    <w:uiPriority w:val="0"/>
    <w:rPr>
      <w:rFonts w:ascii="Times New Roman" w:hAnsi="Times New Roman"/>
      <w:b/>
    </w:rPr>
  </w:style>
  <w:style w:type="character" w:customStyle="1" w:styleId="27">
    <w:name w:val="ListLabel 5"/>
    <w:qFormat/>
    <w:uiPriority w:val="0"/>
    <w:rPr>
      <w:rFonts w:ascii="Times New Roman" w:hAnsi="Times New Roman"/>
      <w:b/>
    </w:rPr>
  </w:style>
  <w:style w:type="character" w:customStyle="1" w:styleId="28">
    <w:name w:val="ListLabel 6"/>
    <w:qFormat/>
    <w:uiPriority w:val="0"/>
    <w:rPr>
      <w:rFonts w:ascii="Times New Roman" w:hAnsi="Times New Roman"/>
      <w:b/>
    </w:rPr>
  </w:style>
  <w:style w:type="character" w:customStyle="1" w:styleId="29">
    <w:name w:val="ListLabel 7"/>
    <w:qFormat/>
    <w:uiPriority w:val="0"/>
    <w:rPr>
      <w:rFonts w:ascii="Times New Roman" w:hAnsi="Times New Roman"/>
      <w:b/>
    </w:rPr>
  </w:style>
  <w:style w:type="character" w:customStyle="1" w:styleId="30">
    <w:name w:val="ListLabel 8"/>
    <w:qFormat/>
    <w:uiPriority w:val="0"/>
    <w:rPr>
      <w:rFonts w:ascii="Times New Roman" w:hAnsi="Times New Roman"/>
      <w:b/>
    </w:rPr>
  </w:style>
  <w:style w:type="character" w:customStyle="1" w:styleId="31">
    <w:name w:val="ListLabel 9"/>
    <w:qFormat/>
    <w:uiPriority w:val="0"/>
    <w:rPr>
      <w:b/>
    </w:rPr>
  </w:style>
  <w:style w:type="character" w:customStyle="1" w:styleId="32">
    <w:name w:val="ListLabel 10"/>
    <w:qFormat/>
    <w:uiPriority w:val="0"/>
    <w:rPr>
      <w:b/>
    </w:rPr>
  </w:style>
  <w:style w:type="character" w:customStyle="1" w:styleId="33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34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ConsPlusNormal"/>
    <w:qFormat/>
    <w:uiPriority w:val="0"/>
    <w:pPr>
      <w:widowControl w:val="0"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37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8">
    <w:name w:val="Знак Знак4"/>
    <w:basedOn w:val="1"/>
    <w:qFormat/>
    <w:uiPriority w:val="0"/>
    <w:pPr>
      <w:spacing w:before="0"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39">
    <w:name w:val="Основной текст1"/>
    <w:basedOn w:val="1"/>
    <w:qFormat/>
    <w:uiPriority w:val="0"/>
    <w:pPr>
      <w:widowControl w:val="0"/>
      <w:shd w:val="clear" w:color="auto" w:fill="FFFFFF"/>
      <w:spacing w:before="0" w:after="300" w:line="322" w:lineRule="exact"/>
      <w:jc w:val="center"/>
    </w:pPr>
    <w:rPr>
      <w:rFonts w:ascii="Times New Roman" w:hAnsi="Times New Roman" w:eastAsia="Times New Roman" w:cs="Times New Roman"/>
      <w:b/>
      <w:bCs/>
      <w:spacing w:val="-4"/>
      <w:sz w:val="27"/>
      <w:szCs w:val="27"/>
    </w:rPr>
  </w:style>
  <w:style w:type="paragraph" w:customStyle="1" w:styleId="40">
    <w:name w:val="Содержимое таблицы"/>
    <w:basedOn w:val="1"/>
    <w:qFormat/>
    <w:uiPriority w:val="0"/>
    <w:pPr>
      <w:suppressLineNumbers/>
    </w:pPr>
  </w:style>
  <w:style w:type="paragraph" w:customStyle="1" w:styleId="41">
    <w:name w:val="Заголовок таблицы"/>
    <w:basedOn w:val="4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8C0E6-9C98-4B8D-A418-DFC641DEE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Правительство Новгородской области</Company>
  <Pages>9</Pages>
  <Words>1796</Words>
  <Characters>14806</Characters>
  <Paragraphs>213</Paragraphs>
  <TotalTime>430</TotalTime>
  <ScaleCrop>false</ScaleCrop>
  <LinksUpToDate>false</LinksUpToDate>
  <CharactersWithSpaces>16726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2019-03-19T09:00:00Z</dcterms:created>
  <dc:creator>Родионова Наталья Александровна</dc:creator>
  <cp:lastModifiedBy>kir504</cp:lastModifiedBy>
  <cp:lastPrinted>2023-07-05T08:05:00Z</cp:lastPrinted>
  <dcterms:modified xsi:type="dcterms:W3CDTF">2025-04-09T07:35:35Z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Правительство Новгородской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1049-11.2.0.10323</vt:lpwstr>
  </property>
  <property fmtid="{D5CDD505-2E9C-101B-9397-08002B2CF9AE}" pid="10" name="ICV">
    <vt:lpwstr>1DADB613B2974E39B3EA1CCD3499AA01</vt:lpwstr>
  </property>
</Properties>
</file>